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CF" w:rsidRPr="003B5FA5" w:rsidRDefault="00556DCF" w:rsidP="00556DCF">
      <w:pPr>
        <w:jc w:val="center"/>
        <w:rPr>
          <w:rFonts w:ascii="Arial" w:hAnsi="Arial" w:cs="Arial"/>
          <w:sz w:val="20"/>
          <w:szCs w:val="20"/>
        </w:rPr>
      </w:pPr>
      <w:r w:rsidRPr="003B5FA5">
        <w:rPr>
          <w:rFonts w:ascii="Arial" w:hAnsi="Arial" w:cs="Arial"/>
          <w:sz w:val="20"/>
          <w:szCs w:val="20"/>
        </w:rPr>
        <w:t>County of Los Angeles – Department of Public Health</w:t>
      </w:r>
    </w:p>
    <w:p w:rsidR="00556DCF" w:rsidRPr="003B5FA5" w:rsidRDefault="00556DCF" w:rsidP="00556DCF">
      <w:pPr>
        <w:jc w:val="center"/>
        <w:rPr>
          <w:rFonts w:ascii="Arial" w:hAnsi="Arial" w:cs="Arial"/>
          <w:sz w:val="20"/>
          <w:szCs w:val="20"/>
        </w:rPr>
      </w:pPr>
      <w:r>
        <w:rPr>
          <w:rFonts w:ascii="Arial" w:hAnsi="Arial" w:cs="Arial"/>
          <w:sz w:val="20"/>
          <w:szCs w:val="20"/>
        </w:rPr>
        <w:t>Substance Abuse Prevention and Control</w:t>
      </w:r>
    </w:p>
    <w:p w:rsidR="00556DCF" w:rsidRPr="00C100E1" w:rsidRDefault="00C100E1" w:rsidP="00556DCF">
      <w:pPr>
        <w:jc w:val="center"/>
        <w:rPr>
          <w:rFonts w:ascii="Arial" w:hAnsi="Arial" w:cs="Arial"/>
          <w:b/>
          <w:color w:val="4F6228" w:themeColor="accent3" w:themeShade="80"/>
          <w:sz w:val="20"/>
          <w:szCs w:val="20"/>
        </w:rPr>
      </w:pPr>
      <w:r w:rsidRPr="00C100E1">
        <w:rPr>
          <w:rFonts w:ascii="Arial" w:hAnsi="Arial" w:cs="Arial"/>
          <w:b/>
          <w:color w:val="4F6228" w:themeColor="accent3" w:themeShade="80"/>
          <w:sz w:val="20"/>
          <w:szCs w:val="20"/>
        </w:rPr>
        <w:t>ENVIRONMENTAL SCAN SUMMARY</w:t>
      </w:r>
      <w:r w:rsidR="00556DCF" w:rsidRPr="00C100E1">
        <w:rPr>
          <w:rFonts w:ascii="Arial" w:hAnsi="Arial" w:cs="Arial"/>
          <w:b/>
          <w:color w:val="4F6228" w:themeColor="accent3" w:themeShade="80"/>
          <w:sz w:val="20"/>
          <w:szCs w:val="20"/>
        </w:rPr>
        <w:t xml:space="preserve"> FORM </w:t>
      </w:r>
      <w:r w:rsidRPr="00C100E1">
        <w:rPr>
          <w:rFonts w:ascii="Arial" w:hAnsi="Arial" w:cs="Arial"/>
          <w:b/>
          <w:color w:val="4F6228" w:themeColor="accent3" w:themeShade="80"/>
          <w:sz w:val="20"/>
          <w:szCs w:val="20"/>
        </w:rPr>
        <w:t>(PART A)</w:t>
      </w:r>
    </w:p>
    <w:p w:rsidR="00685335" w:rsidRDefault="00685335" w:rsidP="00556DCF">
      <w:pPr>
        <w:jc w:val="center"/>
        <w:rPr>
          <w:rFonts w:ascii="Arial" w:hAnsi="Arial" w:cs="Arial"/>
          <w:b/>
          <w:color w:val="215868"/>
          <w:sz w:val="20"/>
          <w:szCs w:val="20"/>
        </w:rPr>
      </w:pPr>
    </w:p>
    <w:tbl>
      <w:tblPr>
        <w:tblW w:w="0" w:type="auto"/>
        <w:tblLook w:val="01E0"/>
      </w:tblPr>
      <w:tblGrid>
        <w:gridCol w:w="2061"/>
        <w:gridCol w:w="3828"/>
        <w:gridCol w:w="2122"/>
        <w:gridCol w:w="2717"/>
      </w:tblGrid>
      <w:tr w:rsidR="00556DCF" w:rsidRPr="003B5FA5" w:rsidTr="00854A5F">
        <w:trPr>
          <w:trHeight w:val="332"/>
        </w:trPr>
        <w:tc>
          <w:tcPr>
            <w:tcW w:w="2088" w:type="dxa"/>
            <w:shd w:val="clear" w:color="auto" w:fill="FFFFFF" w:themeFill="background1"/>
            <w:vAlign w:val="center"/>
          </w:tcPr>
          <w:p w:rsidR="00556DCF" w:rsidRPr="00C100E1" w:rsidRDefault="00556DCF" w:rsidP="00DF52A4">
            <w:pPr>
              <w:jc w:val="right"/>
              <w:rPr>
                <w:rFonts w:ascii="Arial" w:hAnsi="Arial" w:cs="Arial"/>
                <w:b/>
                <w:color w:val="4F6228" w:themeColor="accent3" w:themeShade="80"/>
                <w:sz w:val="20"/>
                <w:szCs w:val="20"/>
              </w:rPr>
            </w:pPr>
            <w:r w:rsidRPr="00C100E1">
              <w:rPr>
                <w:rFonts w:ascii="Arial" w:hAnsi="Arial" w:cs="Arial"/>
                <w:b/>
                <w:color w:val="4F6228" w:themeColor="accent3" w:themeShade="80"/>
                <w:sz w:val="20"/>
                <w:szCs w:val="20"/>
              </w:rPr>
              <w:t>AGENCY</w:t>
            </w:r>
          </w:p>
        </w:tc>
        <w:tc>
          <w:tcPr>
            <w:tcW w:w="3960" w:type="dxa"/>
            <w:tcBorders>
              <w:bottom w:val="single" w:sz="4" w:space="0" w:color="auto"/>
            </w:tcBorders>
            <w:vAlign w:val="center"/>
          </w:tcPr>
          <w:p w:rsidR="00556DCF" w:rsidRPr="003B5FA5" w:rsidRDefault="00556DCF" w:rsidP="009E4FC3">
            <w:pPr>
              <w:rPr>
                <w:rFonts w:ascii="Arial" w:hAnsi="Arial" w:cs="Arial"/>
                <w:sz w:val="20"/>
                <w:szCs w:val="20"/>
              </w:rPr>
            </w:pPr>
          </w:p>
        </w:tc>
        <w:tc>
          <w:tcPr>
            <w:tcW w:w="2160" w:type="dxa"/>
            <w:shd w:val="clear" w:color="auto" w:fill="FFFFFF" w:themeFill="background1"/>
            <w:vAlign w:val="center"/>
          </w:tcPr>
          <w:p w:rsidR="00556DCF" w:rsidRPr="00C100E1" w:rsidRDefault="00DF52A4" w:rsidP="001D2216">
            <w:pPr>
              <w:jc w:val="right"/>
              <w:rPr>
                <w:rFonts w:ascii="Arial" w:hAnsi="Arial" w:cs="Arial"/>
                <w:b/>
                <w:color w:val="4F6228" w:themeColor="accent3" w:themeShade="80"/>
                <w:sz w:val="20"/>
                <w:szCs w:val="20"/>
              </w:rPr>
            </w:pPr>
            <w:r w:rsidRPr="00C100E1">
              <w:rPr>
                <w:rFonts w:ascii="Arial" w:hAnsi="Arial" w:cs="Arial"/>
                <w:b/>
                <w:color w:val="4F6228" w:themeColor="accent3" w:themeShade="80"/>
                <w:sz w:val="20"/>
                <w:szCs w:val="20"/>
              </w:rPr>
              <w:t>AGENCY CODE</w:t>
            </w:r>
          </w:p>
        </w:tc>
        <w:tc>
          <w:tcPr>
            <w:tcW w:w="2808" w:type="dxa"/>
            <w:tcBorders>
              <w:bottom w:val="single" w:sz="4" w:space="0" w:color="auto"/>
            </w:tcBorders>
            <w:vAlign w:val="center"/>
          </w:tcPr>
          <w:p w:rsidR="00556DCF" w:rsidRPr="003B5FA5" w:rsidRDefault="00556DCF" w:rsidP="009E4FC3">
            <w:pPr>
              <w:rPr>
                <w:rFonts w:ascii="Arial" w:hAnsi="Arial" w:cs="Arial"/>
                <w:sz w:val="20"/>
                <w:szCs w:val="20"/>
              </w:rPr>
            </w:pPr>
          </w:p>
        </w:tc>
      </w:tr>
      <w:tr w:rsidR="00556DCF" w:rsidRPr="003B5FA5" w:rsidTr="00854A5F">
        <w:trPr>
          <w:trHeight w:val="332"/>
        </w:trPr>
        <w:tc>
          <w:tcPr>
            <w:tcW w:w="2088" w:type="dxa"/>
            <w:shd w:val="clear" w:color="auto" w:fill="FFFFFF" w:themeFill="background1"/>
            <w:vAlign w:val="center"/>
          </w:tcPr>
          <w:p w:rsidR="00556DCF" w:rsidRPr="00C100E1" w:rsidRDefault="00DF52A4" w:rsidP="00DF52A4">
            <w:pPr>
              <w:jc w:val="right"/>
              <w:rPr>
                <w:rFonts w:ascii="Arial" w:hAnsi="Arial" w:cs="Arial"/>
                <w:b/>
                <w:color w:val="4F6228" w:themeColor="accent3" w:themeShade="80"/>
                <w:sz w:val="20"/>
                <w:szCs w:val="20"/>
              </w:rPr>
            </w:pPr>
            <w:r w:rsidRPr="00C100E1">
              <w:rPr>
                <w:rFonts w:ascii="Arial" w:hAnsi="Arial" w:cs="Arial"/>
                <w:b/>
                <w:color w:val="4F6228" w:themeColor="accent3" w:themeShade="80"/>
                <w:sz w:val="20"/>
                <w:szCs w:val="20"/>
              </w:rPr>
              <w:t xml:space="preserve">CONTRACT TYPE </w:t>
            </w:r>
          </w:p>
        </w:tc>
        <w:tc>
          <w:tcPr>
            <w:tcW w:w="3960" w:type="dxa"/>
            <w:tcBorders>
              <w:top w:val="single" w:sz="4" w:space="0" w:color="auto"/>
              <w:bottom w:val="single" w:sz="4" w:space="0" w:color="auto"/>
            </w:tcBorders>
            <w:vAlign w:val="center"/>
          </w:tcPr>
          <w:p w:rsidR="00556DCF" w:rsidRPr="003B5FA5" w:rsidRDefault="00556DCF" w:rsidP="009E4FC3">
            <w:pPr>
              <w:rPr>
                <w:rFonts w:ascii="Arial" w:hAnsi="Arial" w:cs="Arial"/>
                <w:sz w:val="20"/>
                <w:szCs w:val="20"/>
              </w:rPr>
            </w:pPr>
          </w:p>
        </w:tc>
        <w:tc>
          <w:tcPr>
            <w:tcW w:w="2160" w:type="dxa"/>
            <w:shd w:val="clear" w:color="auto" w:fill="FFFFFF" w:themeFill="background1"/>
            <w:vAlign w:val="center"/>
          </w:tcPr>
          <w:p w:rsidR="00556DCF" w:rsidRPr="00C100E1" w:rsidRDefault="00854A5F" w:rsidP="00C100E1">
            <w:pPr>
              <w:jc w:val="right"/>
              <w:rPr>
                <w:rFonts w:ascii="Arial" w:hAnsi="Arial" w:cs="Arial"/>
                <w:b/>
                <w:color w:val="4F6228" w:themeColor="accent3" w:themeShade="80"/>
                <w:sz w:val="20"/>
                <w:szCs w:val="20"/>
              </w:rPr>
            </w:pPr>
            <w:r w:rsidRPr="00C100E1">
              <w:rPr>
                <w:rFonts w:ascii="Arial" w:hAnsi="Arial" w:cs="Arial"/>
                <w:b/>
                <w:color w:val="4F6228" w:themeColor="accent3" w:themeShade="80"/>
                <w:sz w:val="20"/>
                <w:szCs w:val="20"/>
              </w:rPr>
              <w:t>S</w:t>
            </w:r>
            <w:r w:rsidR="00C100E1" w:rsidRPr="00C100E1">
              <w:rPr>
                <w:rFonts w:ascii="Arial" w:hAnsi="Arial" w:cs="Arial"/>
                <w:b/>
                <w:color w:val="4F6228" w:themeColor="accent3" w:themeShade="80"/>
                <w:sz w:val="20"/>
                <w:szCs w:val="20"/>
              </w:rPr>
              <w:t>CAN</w:t>
            </w:r>
            <w:r w:rsidRPr="00C100E1">
              <w:rPr>
                <w:rFonts w:ascii="Arial" w:hAnsi="Arial" w:cs="Arial"/>
                <w:b/>
                <w:color w:val="4F6228" w:themeColor="accent3" w:themeShade="80"/>
                <w:sz w:val="20"/>
                <w:szCs w:val="20"/>
              </w:rPr>
              <w:t xml:space="preserve"> </w:t>
            </w:r>
            <w:r w:rsidR="00556DCF" w:rsidRPr="00C100E1">
              <w:rPr>
                <w:rFonts w:ascii="Arial" w:hAnsi="Arial" w:cs="Arial"/>
                <w:b/>
                <w:color w:val="4F6228" w:themeColor="accent3" w:themeShade="80"/>
                <w:sz w:val="20"/>
                <w:szCs w:val="20"/>
              </w:rPr>
              <w:t xml:space="preserve">DATES </w:t>
            </w:r>
          </w:p>
        </w:tc>
        <w:tc>
          <w:tcPr>
            <w:tcW w:w="2808" w:type="dxa"/>
            <w:tcBorders>
              <w:top w:val="single" w:sz="4" w:space="0" w:color="auto"/>
              <w:bottom w:val="single" w:sz="4" w:space="0" w:color="auto"/>
            </w:tcBorders>
            <w:vAlign w:val="center"/>
          </w:tcPr>
          <w:p w:rsidR="00556DCF" w:rsidRPr="003B5FA5" w:rsidRDefault="00556DCF" w:rsidP="009E4FC3">
            <w:pPr>
              <w:rPr>
                <w:rFonts w:ascii="Arial" w:hAnsi="Arial" w:cs="Arial"/>
                <w:sz w:val="20"/>
                <w:szCs w:val="20"/>
              </w:rPr>
            </w:pPr>
          </w:p>
        </w:tc>
      </w:tr>
    </w:tbl>
    <w:p w:rsidR="00556DCF" w:rsidRPr="003B5FA5" w:rsidRDefault="00556DCF" w:rsidP="00556DCF">
      <w:pPr>
        <w:rPr>
          <w:rFonts w:ascii="Arial" w:hAnsi="Arial" w:cs="Arial"/>
          <w:i/>
          <w:sz w:val="20"/>
          <w:szCs w:val="20"/>
        </w:rPr>
      </w:pPr>
    </w:p>
    <w:p w:rsidR="00C100E1" w:rsidRDefault="00C100E1" w:rsidP="00AD20F7">
      <w:pPr>
        <w:rPr>
          <w:rFonts w:ascii="Arial" w:hAnsi="Arial" w:cs="Arial"/>
          <w:b/>
          <w:sz w:val="20"/>
          <w:szCs w:val="20"/>
        </w:rPr>
      </w:pPr>
    </w:p>
    <w:p w:rsidR="00AD20F7" w:rsidRPr="00C100E1" w:rsidRDefault="0015227E" w:rsidP="00AD20F7">
      <w:pPr>
        <w:rPr>
          <w:rFonts w:ascii="Arial" w:hAnsi="Arial" w:cs="Arial"/>
          <w:sz w:val="20"/>
          <w:szCs w:val="20"/>
        </w:rPr>
      </w:pPr>
      <w:r w:rsidRPr="00C100E1">
        <w:rPr>
          <w:rFonts w:ascii="Arial" w:hAnsi="Arial" w:cs="Arial"/>
          <w:b/>
          <w:sz w:val="20"/>
          <w:szCs w:val="20"/>
        </w:rPr>
        <w:t xml:space="preserve">PURPOSE: </w:t>
      </w:r>
      <w:r w:rsidR="00AD20F7" w:rsidRPr="00C100E1">
        <w:rPr>
          <w:rFonts w:ascii="Arial" w:hAnsi="Arial" w:cs="Arial"/>
          <w:sz w:val="20"/>
          <w:szCs w:val="20"/>
        </w:rPr>
        <w:t xml:space="preserve">The purpose of conducting an </w:t>
      </w:r>
      <w:r w:rsidR="00C100E1">
        <w:rPr>
          <w:rFonts w:ascii="Arial" w:hAnsi="Arial" w:cs="Arial"/>
          <w:sz w:val="20"/>
          <w:szCs w:val="20"/>
        </w:rPr>
        <w:t>environmental s</w:t>
      </w:r>
      <w:r w:rsidR="00AD20F7" w:rsidRPr="00C100E1">
        <w:rPr>
          <w:rFonts w:ascii="Arial" w:hAnsi="Arial" w:cs="Arial"/>
          <w:sz w:val="20"/>
          <w:szCs w:val="20"/>
        </w:rPr>
        <w:t xml:space="preserve">can throughout the target community is to identify locations (e.g., alcohol outlets, medical marijuana dispensaries, parks, intersections) and infrastructure (e.g., billboards, bus bench ads) that </w:t>
      </w:r>
      <w:r w:rsidR="00AD20F7" w:rsidRPr="00C100E1">
        <w:rPr>
          <w:rFonts w:ascii="Arial" w:hAnsi="Arial" w:cs="Arial"/>
          <w:i/>
          <w:sz w:val="20"/>
          <w:szCs w:val="20"/>
        </w:rPr>
        <w:t xml:space="preserve">may </w:t>
      </w:r>
      <w:r w:rsidR="00AD20F7" w:rsidRPr="00C100E1">
        <w:rPr>
          <w:rFonts w:ascii="Arial" w:hAnsi="Arial" w:cs="Arial"/>
          <w:sz w:val="20"/>
          <w:szCs w:val="20"/>
        </w:rPr>
        <w:t xml:space="preserve">contribute to local </w:t>
      </w:r>
      <w:r w:rsidR="00367759">
        <w:rPr>
          <w:rFonts w:ascii="Arial" w:hAnsi="Arial" w:cs="Arial"/>
          <w:sz w:val="20"/>
          <w:szCs w:val="20"/>
        </w:rPr>
        <w:t>alcohol and other drug (</w:t>
      </w:r>
      <w:r w:rsidR="00AD20F7" w:rsidRPr="00C100E1">
        <w:rPr>
          <w:rFonts w:ascii="Arial" w:hAnsi="Arial" w:cs="Arial"/>
          <w:sz w:val="20"/>
          <w:szCs w:val="20"/>
        </w:rPr>
        <w:t>AOD</w:t>
      </w:r>
      <w:r w:rsidR="00367759">
        <w:rPr>
          <w:rFonts w:ascii="Arial" w:hAnsi="Arial" w:cs="Arial"/>
          <w:sz w:val="20"/>
          <w:szCs w:val="20"/>
        </w:rPr>
        <w:t>)</w:t>
      </w:r>
      <w:r w:rsidR="00AD20F7" w:rsidRPr="00C100E1">
        <w:rPr>
          <w:rFonts w:ascii="Arial" w:hAnsi="Arial" w:cs="Arial"/>
          <w:sz w:val="20"/>
          <w:szCs w:val="20"/>
        </w:rPr>
        <w:t xml:space="preserve"> consumption and related consequences. It is a preliminary scan which can provide insight on where to focus AOD prevention efforts, especially when used in conjunction with findings from other parts of the Comprehensive Community Assessment. </w:t>
      </w:r>
    </w:p>
    <w:p w:rsidR="00C100E1" w:rsidRPr="00C100E1" w:rsidRDefault="00C100E1" w:rsidP="00AD20F7">
      <w:pPr>
        <w:rPr>
          <w:rFonts w:ascii="Arial" w:hAnsi="Arial" w:cs="Arial"/>
          <w:sz w:val="20"/>
          <w:szCs w:val="20"/>
        </w:rPr>
      </w:pPr>
    </w:p>
    <w:p w:rsidR="00367759" w:rsidRDefault="00AD20F7" w:rsidP="00AD20F7">
      <w:pPr>
        <w:rPr>
          <w:rFonts w:ascii="Arial" w:hAnsi="Arial" w:cs="Arial"/>
          <w:sz w:val="20"/>
          <w:szCs w:val="20"/>
        </w:rPr>
      </w:pPr>
      <w:r w:rsidRPr="00C100E1">
        <w:rPr>
          <w:rFonts w:ascii="Arial" w:hAnsi="Arial" w:cs="Arial"/>
          <w:sz w:val="20"/>
          <w:szCs w:val="20"/>
        </w:rPr>
        <w:t xml:space="preserve">This scan focuses on 1) on-sale (bars, restaurants) and off-sale (liquor stores, grocery stores) alcohol outlets; </w:t>
      </w:r>
    </w:p>
    <w:p w:rsidR="00AD20F7" w:rsidRPr="00C100E1" w:rsidRDefault="00AD20F7" w:rsidP="00AD20F7">
      <w:pPr>
        <w:rPr>
          <w:rFonts w:ascii="Arial" w:hAnsi="Arial" w:cs="Arial"/>
          <w:sz w:val="20"/>
          <w:szCs w:val="20"/>
        </w:rPr>
      </w:pPr>
      <w:r w:rsidRPr="00C100E1">
        <w:rPr>
          <w:rFonts w:ascii="Arial" w:hAnsi="Arial" w:cs="Arial"/>
          <w:sz w:val="20"/>
          <w:szCs w:val="20"/>
        </w:rPr>
        <w:t xml:space="preserve">2) </w:t>
      </w:r>
      <w:proofErr w:type="gramStart"/>
      <w:r w:rsidRPr="00C100E1">
        <w:rPr>
          <w:rFonts w:ascii="Arial" w:hAnsi="Arial" w:cs="Arial"/>
          <w:sz w:val="20"/>
          <w:szCs w:val="20"/>
        </w:rPr>
        <w:t>billboard</w:t>
      </w:r>
      <w:proofErr w:type="gramEnd"/>
      <w:r w:rsidRPr="00C100E1">
        <w:rPr>
          <w:rFonts w:ascii="Arial" w:hAnsi="Arial" w:cs="Arial"/>
          <w:sz w:val="20"/>
          <w:szCs w:val="20"/>
        </w:rPr>
        <w:t xml:space="preserve"> and bus bench ads for alcohol and marijuana; 3) marijuana dispensaries and head shops (stores selling items of interest to substance users); and 4) locations where drug sales are common. </w:t>
      </w:r>
      <w:r w:rsidR="00C100E1">
        <w:rPr>
          <w:rFonts w:ascii="Arial" w:hAnsi="Arial" w:cs="Arial"/>
          <w:sz w:val="20"/>
          <w:szCs w:val="20"/>
        </w:rPr>
        <w:t xml:space="preserve">See the </w:t>
      </w:r>
      <w:r w:rsidR="00C100E1">
        <w:rPr>
          <w:rFonts w:ascii="Arial" w:hAnsi="Arial" w:cs="Arial"/>
          <w:i/>
          <w:sz w:val="20"/>
          <w:szCs w:val="20"/>
        </w:rPr>
        <w:t xml:space="preserve">Prevention Program </w:t>
      </w:r>
      <w:r w:rsidR="00C100E1" w:rsidRPr="00C100E1">
        <w:rPr>
          <w:rFonts w:ascii="Arial" w:hAnsi="Arial" w:cs="Arial"/>
          <w:i/>
          <w:sz w:val="20"/>
          <w:szCs w:val="20"/>
        </w:rPr>
        <w:t>Manual</w:t>
      </w:r>
      <w:r w:rsidR="00C100E1">
        <w:rPr>
          <w:rFonts w:ascii="Arial" w:hAnsi="Arial" w:cs="Arial"/>
          <w:sz w:val="20"/>
          <w:szCs w:val="20"/>
        </w:rPr>
        <w:t xml:space="preserve"> (page 18) for more detail on these topics. </w:t>
      </w:r>
    </w:p>
    <w:p w:rsidR="0015227E" w:rsidRDefault="0015227E" w:rsidP="0015227E">
      <w:pPr>
        <w:rPr>
          <w:rFonts w:ascii="Arial" w:hAnsi="Arial" w:cs="Arial"/>
          <w:b/>
          <w:sz w:val="20"/>
          <w:szCs w:val="20"/>
        </w:rPr>
      </w:pPr>
    </w:p>
    <w:p w:rsidR="00AA0CF2" w:rsidRPr="00C100E1" w:rsidRDefault="0015227E" w:rsidP="00AA0CF2">
      <w:pPr>
        <w:rPr>
          <w:rFonts w:ascii="Arial" w:hAnsi="Arial" w:cs="Arial"/>
          <w:sz w:val="20"/>
          <w:szCs w:val="20"/>
        </w:rPr>
      </w:pPr>
      <w:r>
        <w:rPr>
          <w:rFonts w:ascii="Arial" w:hAnsi="Arial" w:cs="Arial"/>
          <w:b/>
          <w:sz w:val="20"/>
          <w:szCs w:val="20"/>
        </w:rPr>
        <w:t>DIRECTIONS</w:t>
      </w:r>
      <w:r w:rsidR="00C100E1">
        <w:rPr>
          <w:rFonts w:ascii="Arial" w:hAnsi="Arial" w:cs="Arial"/>
          <w:b/>
          <w:sz w:val="20"/>
          <w:szCs w:val="20"/>
        </w:rPr>
        <w:t>:</w:t>
      </w:r>
      <w:r w:rsidR="00C100E1" w:rsidRPr="00C100E1">
        <w:rPr>
          <w:rFonts w:ascii="Arial" w:hAnsi="Arial" w:cs="Arial"/>
          <w:sz w:val="20"/>
          <w:szCs w:val="20"/>
        </w:rPr>
        <w:t xml:space="preserve"> </w:t>
      </w:r>
      <w:r w:rsidR="00C100E1">
        <w:rPr>
          <w:rFonts w:ascii="Arial" w:hAnsi="Arial" w:cs="Arial"/>
          <w:sz w:val="20"/>
          <w:szCs w:val="20"/>
        </w:rPr>
        <w:t xml:space="preserve">Before </w:t>
      </w:r>
      <w:r w:rsidR="00AA0CF2">
        <w:rPr>
          <w:rFonts w:ascii="Arial" w:hAnsi="Arial" w:cs="Arial"/>
          <w:sz w:val="20"/>
          <w:szCs w:val="20"/>
        </w:rPr>
        <w:t>initiating this part of the assessment</w:t>
      </w:r>
      <w:r w:rsidR="00C100E1">
        <w:rPr>
          <w:rFonts w:ascii="Arial" w:hAnsi="Arial" w:cs="Arial"/>
          <w:sz w:val="20"/>
          <w:szCs w:val="20"/>
        </w:rPr>
        <w:t xml:space="preserve">, agencies will need to </w:t>
      </w:r>
      <w:r w:rsidR="00AA0CF2">
        <w:rPr>
          <w:rFonts w:ascii="Arial" w:hAnsi="Arial" w:cs="Arial"/>
          <w:sz w:val="20"/>
          <w:szCs w:val="20"/>
        </w:rPr>
        <w:t xml:space="preserve">develop their own tools and/or </w:t>
      </w:r>
      <w:r w:rsidR="00C100E1">
        <w:rPr>
          <w:rFonts w:ascii="Arial" w:hAnsi="Arial" w:cs="Arial"/>
          <w:sz w:val="20"/>
          <w:szCs w:val="20"/>
        </w:rPr>
        <w:t xml:space="preserve">modify existing tools </w:t>
      </w:r>
      <w:r w:rsidR="00AA0CF2">
        <w:rPr>
          <w:rFonts w:ascii="Arial" w:hAnsi="Arial" w:cs="Arial"/>
          <w:sz w:val="20"/>
          <w:szCs w:val="20"/>
        </w:rPr>
        <w:t xml:space="preserve">available online (several samples have been provided) </w:t>
      </w:r>
      <w:r w:rsidR="00C100E1">
        <w:rPr>
          <w:rFonts w:ascii="Arial" w:hAnsi="Arial" w:cs="Arial"/>
          <w:sz w:val="20"/>
          <w:szCs w:val="20"/>
        </w:rPr>
        <w:t xml:space="preserve">to </w:t>
      </w:r>
      <w:r w:rsidR="00AA0CF2">
        <w:rPr>
          <w:rFonts w:ascii="Arial" w:hAnsi="Arial" w:cs="Arial"/>
          <w:sz w:val="20"/>
          <w:szCs w:val="20"/>
        </w:rPr>
        <w:t>more specifically</w:t>
      </w:r>
      <w:r w:rsidR="00C100E1">
        <w:rPr>
          <w:rFonts w:ascii="Arial" w:hAnsi="Arial" w:cs="Arial"/>
          <w:sz w:val="20"/>
          <w:szCs w:val="20"/>
        </w:rPr>
        <w:t xml:space="preserve"> document their </w:t>
      </w:r>
      <w:r w:rsidR="00AA0CF2">
        <w:rPr>
          <w:rFonts w:ascii="Arial" w:hAnsi="Arial" w:cs="Arial"/>
          <w:sz w:val="20"/>
          <w:szCs w:val="20"/>
        </w:rPr>
        <w:t>findings</w:t>
      </w:r>
      <w:r w:rsidR="00C100E1">
        <w:rPr>
          <w:rFonts w:ascii="Arial" w:hAnsi="Arial" w:cs="Arial"/>
          <w:sz w:val="20"/>
          <w:szCs w:val="20"/>
        </w:rPr>
        <w:t xml:space="preserve"> in the </w:t>
      </w:r>
      <w:r w:rsidR="00AA0CF2">
        <w:rPr>
          <w:rFonts w:ascii="Arial" w:hAnsi="Arial" w:cs="Arial"/>
          <w:sz w:val="20"/>
          <w:szCs w:val="20"/>
        </w:rPr>
        <w:t>community</w:t>
      </w:r>
      <w:r w:rsidR="00C100E1">
        <w:rPr>
          <w:rFonts w:ascii="Arial" w:hAnsi="Arial" w:cs="Arial"/>
          <w:sz w:val="20"/>
          <w:szCs w:val="20"/>
        </w:rPr>
        <w:t xml:space="preserve">. </w:t>
      </w:r>
      <w:r w:rsidR="00AA0CF2">
        <w:rPr>
          <w:rFonts w:ascii="Arial" w:hAnsi="Arial" w:cs="Arial"/>
          <w:sz w:val="20"/>
          <w:szCs w:val="20"/>
        </w:rPr>
        <w:t xml:space="preserve">This document is only designed as a summary form. A staff safety plan should be developed, and staff trained on its expectations, before the environmental scan work begins in the field. </w:t>
      </w:r>
    </w:p>
    <w:p w:rsidR="00AA0CF2" w:rsidRDefault="00AA0CF2" w:rsidP="00C100E1">
      <w:pPr>
        <w:rPr>
          <w:rFonts w:ascii="Arial" w:hAnsi="Arial" w:cs="Arial"/>
          <w:sz w:val="20"/>
          <w:szCs w:val="20"/>
        </w:rPr>
      </w:pPr>
    </w:p>
    <w:p w:rsidR="00C100E1" w:rsidRPr="00C100E1" w:rsidRDefault="00AA0CF2" w:rsidP="00C100E1">
      <w:pPr>
        <w:rPr>
          <w:rFonts w:ascii="Arial" w:hAnsi="Arial" w:cs="Arial"/>
          <w:sz w:val="20"/>
          <w:szCs w:val="20"/>
        </w:rPr>
      </w:pPr>
      <w:r>
        <w:rPr>
          <w:rFonts w:ascii="Arial" w:hAnsi="Arial" w:cs="Arial"/>
          <w:sz w:val="20"/>
          <w:szCs w:val="20"/>
        </w:rPr>
        <w:t>Subsequently, e</w:t>
      </w:r>
      <w:r w:rsidR="00C100E1" w:rsidRPr="00C100E1">
        <w:rPr>
          <w:rFonts w:ascii="Arial" w:hAnsi="Arial" w:cs="Arial"/>
          <w:sz w:val="20"/>
          <w:szCs w:val="20"/>
        </w:rPr>
        <w:t xml:space="preserve">ach EPS and CPS contractor will take a well planned out tour of their defined target area to ensure that appropriate residential and commercial areas possibly affected by the issues discussed </w:t>
      </w:r>
      <w:r w:rsidR="00C100E1">
        <w:rPr>
          <w:rFonts w:ascii="Arial" w:hAnsi="Arial" w:cs="Arial"/>
          <w:sz w:val="20"/>
          <w:szCs w:val="20"/>
        </w:rPr>
        <w:t>on</w:t>
      </w:r>
      <w:r w:rsidR="00C100E1" w:rsidRPr="00C100E1">
        <w:rPr>
          <w:rFonts w:ascii="Arial" w:hAnsi="Arial" w:cs="Arial"/>
          <w:sz w:val="20"/>
          <w:szCs w:val="20"/>
        </w:rPr>
        <w:t xml:space="preserve"> </w:t>
      </w:r>
      <w:r>
        <w:rPr>
          <w:rFonts w:ascii="Arial" w:hAnsi="Arial" w:cs="Arial"/>
          <w:sz w:val="20"/>
          <w:szCs w:val="20"/>
        </w:rPr>
        <w:t>this form</w:t>
      </w:r>
      <w:r w:rsidR="00C100E1" w:rsidRPr="00C100E1">
        <w:rPr>
          <w:rFonts w:ascii="Arial" w:hAnsi="Arial" w:cs="Arial"/>
          <w:sz w:val="20"/>
          <w:szCs w:val="20"/>
        </w:rPr>
        <w:t xml:space="preserve"> are comprehensively surveyed. Contractors will need to determine a route before starting the environmental scan to ensure that a component of the survey (e.g., bus bench ads) is completed on the same day.  </w:t>
      </w:r>
    </w:p>
    <w:p w:rsidR="005B0C4A" w:rsidRDefault="005B0C4A" w:rsidP="005B0C4A">
      <w:pPr>
        <w:rPr>
          <w:rFonts w:ascii="Arial" w:hAnsi="Arial" w:cs="Arial"/>
          <w:b/>
          <w:sz w:val="20"/>
          <w:szCs w:val="20"/>
        </w:rPr>
      </w:pPr>
    </w:p>
    <w:p w:rsidR="005B0C4A" w:rsidRDefault="005B0C4A" w:rsidP="005B0C4A">
      <w:pPr>
        <w:rPr>
          <w:rFonts w:ascii="Arial" w:hAnsi="Arial" w:cs="Arial"/>
          <w:sz w:val="20"/>
          <w:szCs w:val="20"/>
        </w:rPr>
      </w:pPr>
      <w:r>
        <w:rPr>
          <w:rFonts w:ascii="Arial" w:hAnsi="Arial" w:cs="Arial"/>
          <w:b/>
          <w:sz w:val="20"/>
          <w:szCs w:val="20"/>
        </w:rPr>
        <w:t>SCOPE &amp; TIME COMMITMENT:</w:t>
      </w:r>
      <w:r>
        <w:rPr>
          <w:rFonts w:ascii="Arial" w:hAnsi="Arial" w:cs="Arial"/>
          <w:sz w:val="20"/>
          <w:szCs w:val="20"/>
        </w:rPr>
        <w:t xml:space="preserve"> Conducting a comprehensive environmental scan is a time intensive process. Notwithstanding the time it takes to develop/modify forms and plan a route, this could take </w:t>
      </w:r>
      <w:r w:rsidR="00367759">
        <w:rPr>
          <w:rFonts w:ascii="Arial" w:hAnsi="Arial" w:cs="Arial"/>
          <w:sz w:val="20"/>
          <w:szCs w:val="20"/>
        </w:rPr>
        <w:t xml:space="preserve">at minimum </w:t>
      </w:r>
      <w:r>
        <w:rPr>
          <w:rFonts w:ascii="Arial" w:hAnsi="Arial" w:cs="Arial"/>
          <w:sz w:val="20"/>
          <w:szCs w:val="20"/>
        </w:rPr>
        <w:t xml:space="preserve">one to two weeks of dedicated staff time depending on the community being reviewed. While there is no minimum or maximum number of areas or businesses to review, the scope of the target area and number of sites visited will be considered. </w:t>
      </w:r>
    </w:p>
    <w:p w:rsidR="005B0C4A" w:rsidRDefault="005B0C4A" w:rsidP="005B0C4A">
      <w:pPr>
        <w:rPr>
          <w:rFonts w:ascii="Arial" w:hAnsi="Arial" w:cs="Arial"/>
          <w:sz w:val="20"/>
          <w:szCs w:val="20"/>
        </w:rPr>
      </w:pPr>
    </w:p>
    <w:p w:rsidR="005B0C4A" w:rsidRDefault="005B0C4A" w:rsidP="005B0C4A">
      <w:pPr>
        <w:rPr>
          <w:rFonts w:ascii="Arial" w:hAnsi="Arial" w:cs="Arial"/>
          <w:sz w:val="20"/>
          <w:szCs w:val="20"/>
        </w:rPr>
      </w:pPr>
      <w:r w:rsidRPr="00BA181C">
        <w:rPr>
          <w:rFonts w:ascii="Arial" w:hAnsi="Arial" w:cs="Arial"/>
          <w:b/>
          <w:sz w:val="20"/>
          <w:szCs w:val="20"/>
        </w:rPr>
        <w:t>NOTE</w:t>
      </w:r>
      <w:r>
        <w:rPr>
          <w:rFonts w:ascii="Arial" w:hAnsi="Arial" w:cs="Arial"/>
          <w:sz w:val="20"/>
          <w:szCs w:val="20"/>
        </w:rPr>
        <w:t xml:space="preserve">: The </w:t>
      </w:r>
      <w:r>
        <w:rPr>
          <w:rFonts w:ascii="Arial" w:hAnsi="Arial" w:cs="Arial"/>
          <w:i/>
          <w:sz w:val="20"/>
          <w:szCs w:val="20"/>
        </w:rPr>
        <w:t xml:space="preserve">Environmental Scan Summary </w:t>
      </w:r>
      <w:r>
        <w:rPr>
          <w:rFonts w:ascii="Arial" w:hAnsi="Arial" w:cs="Arial"/>
          <w:sz w:val="20"/>
          <w:szCs w:val="20"/>
        </w:rPr>
        <w:t xml:space="preserve">form includes </w:t>
      </w:r>
      <w:r w:rsidR="00BA181C">
        <w:rPr>
          <w:rFonts w:ascii="Arial" w:hAnsi="Arial" w:cs="Arial"/>
          <w:sz w:val="20"/>
          <w:szCs w:val="20"/>
        </w:rPr>
        <w:t xml:space="preserve">“drop-down” options. </w:t>
      </w:r>
      <w:r w:rsidR="00367759">
        <w:rPr>
          <w:rFonts w:ascii="Arial" w:hAnsi="Arial" w:cs="Arial"/>
          <w:sz w:val="20"/>
          <w:szCs w:val="20"/>
        </w:rPr>
        <w:t xml:space="preserve">Please review before beginning. </w:t>
      </w:r>
    </w:p>
    <w:p w:rsidR="00BA181C" w:rsidRDefault="00BA181C" w:rsidP="005B0C4A">
      <w:pPr>
        <w:rPr>
          <w:rFonts w:ascii="Arial" w:hAnsi="Arial" w:cs="Arial"/>
          <w:sz w:val="20"/>
          <w:szCs w:val="20"/>
        </w:rPr>
      </w:pPr>
    </w:p>
    <w:tbl>
      <w:tblPr>
        <w:tblW w:w="1035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350"/>
      </w:tblGrid>
      <w:tr w:rsidR="00BA181C" w:rsidTr="00BA181C">
        <w:trPr>
          <w:trHeight w:val="399"/>
        </w:trPr>
        <w:tc>
          <w:tcPr>
            <w:tcW w:w="10350" w:type="dxa"/>
            <w:tcBorders>
              <w:top w:val="threeDEmboss" w:sz="12" w:space="0" w:color="auto"/>
              <w:left w:val="threeDEmboss" w:sz="12" w:space="0" w:color="auto"/>
              <w:bottom w:val="threeDEmboss" w:sz="12" w:space="0" w:color="auto"/>
              <w:right w:val="threeDEmboss" w:sz="12" w:space="0" w:color="auto"/>
            </w:tcBorders>
            <w:shd w:val="clear" w:color="auto" w:fill="4F6228" w:themeFill="accent3" w:themeFillShade="80"/>
            <w:vAlign w:val="center"/>
          </w:tcPr>
          <w:p w:rsidR="00BA181C" w:rsidRPr="000A1A68" w:rsidRDefault="00BA181C" w:rsidP="00A35FC8">
            <w:pPr>
              <w:rPr>
                <w:rFonts w:ascii="Arial Narrow" w:hAnsi="Arial Narrow" w:cs="Arial"/>
                <w:b/>
                <w:color w:val="FFFFFF" w:themeColor="background1"/>
                <w:sz w:val="20"/>
                <w:szCs w:val="20"/>
              </w:rPr>
            </w:pPr>
            <w:r w:rsidRPr="000A1A68">
              <w:rPr>
                <w:rFonts w:ascii="Arial Narrow" w:hAnsi="Arial Narrow" w:cs="Arial"/>
                <w:b/>
                <w:color w:val="FFFFFF" w:themeColor="background1"/>
                <w:sz w:val="22"/>
                <w:szCs w:val="22"/>
              </w:rPr>
              <w:t>Describe the ge</w:t>
            </w:r>
            <w:r w:rsidR="00367759">
              <w:rPr>
                <w:rFonts w:ascii="Arial Narrow" w:hAnsi="Arial Narrow" w:cs="Arial"/>
                <w:b/>
                <w:color w:val="FFFFFF" w:themeColor="background1"/>
                <w:sz w:val="22"/>
                <w:szCs w:val="22"/>
              </w:rPr>
              <w:t xml:space="preserve">ographic area </w:t>
            </w:r>
            <w:r w:rsidR="00A35FC8">
              <w:rPr>
                <w:rFonts w:ascii="Arial Narrow" w:hAnsi="Arial Narrow" w:cs="Arial"/>
                <w:b/>
                <w:color w:val="FFFFFF" w:themeColor="background1"/>
                <w:sz w:val="22"/>
                <w:szCs w:val="22"/>
              </w:rPr>
              <w:t xml:space="preserve">that was </w:t>
            </w:r>
            <w:r w:rsidR="00367759">
              <w:rPr>
                <w:rFonts w:ascii="Arial Narrow" w:hAnsi="Arial Narrow" w:cs="Arial"/>
                <w:b/>
                <w:color w:val="FFFFFF" w:themeColor="background1"/>
                <w:sz w:val="22"/>
                <w:szCs w:val="22"/>
              </w:rPr>
              <w:t>reviewed</w:t>
            </w:r>
            <w:r w:rsidRPr="000A1A68">
              <w:rPr>
                <w:rFonts w:ascii="Arial Narrow" w:hAnsi="Arial Narrow" w:cs="Arial"/>
                <w:b/>
                <w:color w:val="FFFFFF" w:themeColor="background1"/>
                <w:sz w:val="22"/>
                <w:szCs w:val="22"/>
              </w:rPr>
              <w:t>. Include street boundaries where possible.</w:t>
            </w:r>
          </w:p>
        </w:tc>
      </w:tr>
      <w:tr w:rsidR="00BA181C" w:rsidTr="000A1A68">
        <w:trPr>
          <w:trHeight w:val="3855"/>
        </w:trPr>
        <w:tc>
          <w:tcPr>
            <w:tcW w:w="10350" w:type="dxa"/>
            <w:tcBorders>
              <w:top w:val="threeDEmboss" w:sz="12" w:space="0" w:color="auto"/>
              <w:left w:val="threeDEmboss" w:sz="12" w:space="0" w:color="auto"/>
              <w:bottom w:val="threeDEmboss" w:sz="12" w:space="0" w:color="auto"/>
              <w:right w:val="threeDEmboss" w:sz="12" w:space="0" w:color="auto"/>
            </w:tcBorders>
            <w:vAlign w:val="center"/>
          </w:tcPr>
          <w:p w:rsidR="00BA181C" w:rsidRPr="005B0C4A" w:rsidRDefault="00BA181C" w:rsidP="00BA181C">
            <w:pPr>
              <w:rPr>
                <w:rFonts w:ascii="Arial" w:hAnsi="Arial" w:cs="Arial"/>
                <w:sz w:val="18"/>
                <w:szCs w:val="18"/>
              </w:rPr>
            </w:pPr>
          </w:p>
        </w:tc>
      </w:tr>
    </w:tbl>
    <w:p w:rsidR="00BA181C" w:rsidRDefault="00BA181C" w:rsidP="005B0C4A">
      <w:pPr>
        <w:rPr>
          <w:rFonts w:ascii="Arial" w:hAnsi="Arial" w:cs="Arial"/>
          <w:sz w:val="20"/>
          <w:szCs w:val="20"/>
        </w:rPr>
      </w:pPr>
    </w:p>
    <w:p w:rsidR="000A1A68" w:rsidRDefault="000A1A68" w:rsidP="00556DCF">
      <w:pPr>
        <w:rPr>
          <w:rFonts w:ascii="Arial" w:hAnsi="Arial" w:cs="Arial"/>
          <w:sz w:val="20"/>
          <w:szCs w:val="20"/>
        </w:rPr>
      </w:pPr>
    </w:p>
    <w:p w:rsidR="000A1A68" w:rsidRDefault="000A1A68" w:rsidP="00556DCF">
      <w:pPr>
        <w:rPr>
          <w:rFonts w:ascii="Arial" w:hAnsi="Arial" w:cs="Arial"/>
          <w:b/>
          <w:sz w:val="20"/>
          <w:szCs w:val="20"/>
        </w:rPr>
      </w:pPr>
    </w:p>
    <w:p w:rsidR="000A1A68" w:rsidRPr="000A1A68" w:rsidRDefault="000A1A68" w:rsidP="00556DCF">
      <w:pPr>
        <w:rPr>
          <w:rFonts w:ascii="Arial" w:hAnsi="Arial" w:cs="Arial"/>
          <w:b/>
          <w:sz w:val="20"/>
          <w:szCs w:val="20"/>
        </w:rPr>
      </w:pPr>
      <w:r w:rsidRPr="000A1A68">
        <w:rPr>
          <w:rFonts w:ascii="Arial" w:hAnsi="Arial" w:cs="Arial"/>
          <w:b/>
          <w:sz w:val="20"/>
          <w:szCs w:val="20"/>
        </w:rPr>
        <w:lastRenderedPageBreak/>
        <w:t>NARRATIVE SUMMARY – POST FIELD WORK</w:t>
      </w:r>
    </w:p>
    <w:p w:rsidR="000A1A68" w:rsidRDefault="000A1A68" w:rsidP="00556DCF">
      <w:pPr>
        <w:rPr>
          <w:rFonts w:ascii="Arial" w:hAnsi="Arial" w:cs="Arial"/>
          <w:sz w:val="20"/>
          <w:szCs w:val="20"/>
        </w:rPr>
      </w:pPr>
    </w:p>
    <w:p w:rsidR="00BA181C" w:rsidRDefault="00BA181C" w:rsidP="00556DCF">
      <w:pPr>
        <w:rPr>
          <w:rFonts w:ascii="Arial" w:hAnsi="Arial" w:cs="Arial"/>
          <w:sz w:val="20"/>
          <w:szCs w:val="20"/>
        </w:rPr>
      </w:pPr>
      <w:r>
        <w:rPr>
          <w:rFonts w:ascii="Arial" w:hAnsi="Arial" w:cs="Arial"/>
          <w:sz w:val="20"/>
          <w:szCs w:val="20"/>
        </w:rPr>
        <w:t xml:space="preserve">The narrative portion of the </w:t>
      </w:r>
      <w:r>
        <w:rPr>
          <w:rFonts w:ascii="Arial" w:hAnsi="Arial" w:cs="Arial"/>
          <w:i/>
          <w:sz w:val="20"/>
          <w:szCs w:val="20"/>
        </w:rPr>
        <w:t xml:space="preserve">Environmental Scan Summary </w:t>
      </w:r>
      <w:r>
        <w:rPr>
          <w:rFonts w:ascii="Arial" w:hAnsi="Arial" w:cs="Arial"/>
          <w:sz w:val="20"/>
          <w:szCs w:val="20"/>
        </w:rPr>
        <w:t xml:space="preserve">is designed to capture key findings </w:t>
      </w:r>
      <w:r>
        <w:rPr>
          <w:rFonts w:ascii="Arial" w:hAnsi="Arial" w:cs="Arial"/>
          <w:i/>
          <w:sz w:val="20"/>
          <w:szCs w:val="20"/>
        </w:rPr>
        <w:t xml:space="preserve">after </w:t>
      </w:r>
      <w:r>
        <w:rPr>
          <w:rFonts w:ascii="Arial" w:hAnsi="Arial" w:cs="Arial"/>
          <w:sz w:val="20"/>
          <w:szCs w:val="20"/>
        </w:rPr>
        <w:t>the environmental scan is complete</w:t>
      </w:r>
      <w:r w:rsidR="00367759">
        <w:rPr>
          <w:rFonts w:ascii="Arial" w:hAnsi="Arial" w:cs="Arial"/>
          <w:sz w:val="20"/>
          <w:szCs w:val="20"/>
        </w:rPr>
        <w:t>,</w:t>
      </w:r>
      <w:r>
        <w:rPr>
          <w:rFonts w:ascii="Arial" w:hAnsi="Arial" w:cs="Arial"/>
          <w:sz w:val="20"/>
          <w:szCs w:val="20"/>
        </w:rPr>
        <w:t xml:space="preserve"> and agency staff and/or the evaluator have had an opportunity to review details from the field work</w:t>
      </w:r>
      <w:proofErr w:type="gramStart"/>
      <w:r>
        <w:rPr>
          <w:rFonts w:ascii="Arial" w:hAnsi="Arial" w:cs="Arial"/>
          <w:sz w:val="20"/>
          <w:szCs w:val="20"/>
        </w:rPr>
        <w:t xml:space="preserve">. </w:t>
      </w:r>
      <w:r w:rsidR="00B96322">
        <w:rPr>
          <w:rFonts w:ascii="Arial" w:hAnsi="Arial" w:cs="Arial"/>
          <w:sz w:val="20"/>
          <w:szCs w:val="20"/>
        </w:rPr>
        <w:t xml:space="preserve"> </w:t>
      </w:r>
      <w:proofErr w:type="gramEnd"/>
      <w:r w:rsidR="000A1A68">
        <w:rPr>
          <w:rFonts w:ascii="Arial" w:hAnsi="Arial" w:cs="Arial"/>
          <w:sz w:val="20"/>
          <w:szCs w:val="20"/>
        </w:rPr>
        <w:t xml:space="preserve">It asks questions about key sections from Part B of this form. </w:t>
      </w:r>
    </w:p>
    <w:p w:rsidR="000A1A68" w:rsidRDefault="000A1A68" w:rsidP="00556DCF">
      <w:pPr>
        <w:rPr>
          <w:rFonts w:ascii="Arial" w:hAnsi="Arial" w:cs="Arial"/>
          <w:sz w:val="20"/>
          <w:szCs w:val="20"/>
        </w:rPr>
      </w:pPr>
    </w:p>
    <w:tbl>
      <w:tblPr>
        <w:tblW w:w="1035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350"/>
      </w:tblGrid>
      <w:tr w:rsidR="000A1A68" w:rsidTr="003204A5">
        <w:trPr>
          <w:trHeight w:val="993"/>
        </w:trPr>
        <w:tc>
          <w:tcPr>
            <w:tcW w:w="10350"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0A1A68" w:rsidRPr="000A1A68" w:rsidRDefault="003204A5" w:rsidP="00B96322">
            <w:pPr>
              <w:rPr>
                <w:rFonts w:ascii="Arial Narrow" w:hAnsi="Arial Narrow" w:cs="Arial"/>
                <w:b/>
                <w:sz w:val="20"/>
                <w:szCs w:val="20"/>
              </w:rPr>
            </w:pPr>
            <w:r>
              <w:rPr>
                <w:rFonts w:ascii="Arial Narrow" w:hAnsi="Arial Narrow" w:cs="Arial"/>
                <w:b/>
                <w:noProof/>
                <w:sz w:val="20"/>
                <w:szCs w:val="20"/>
              </w:rPr>
              <w:drawing>
                <wp:anchor distT="0" distB="0" distL="114300" distR="114300" simplePos="0" relativeHeight="251665408" behindDoc="0" locked="0" layoutInCell="1" allowOverlap="1">
                  <wp:simplePos x="0" y="0"/>
                  <wp:positionH relativeFrom="column">
                    <wp:posOffset>-669925</wp:posOffset>
                  </wp:positionH>
                  <wp:positionV relativeFrom="paragraph">
                    <wp:posOffset>71755</wp:posOffset>
                  </wp:positionV>
                  <wp:extent cx="530860" cy="416560"/>
                  <wp:effectExtent l="95250" t="38100" r="59690" b="59690"/>
                  <wp:wrapSquare wrapText="bothSides"/>
                  <wp:docPr id="1" name="Picture 42" descr="C:\Documents and Settings\migibson\Local Settings\Temporary Internet Files\Content.IE5\MHJVLLKG\MP90044252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C:\Documents and Settings\migibson\Local Settings\Temporary Internet Files\Content.IE5\MHJVLLKG\MP900442522[1].jpg"/>
                          <pic:cNvPicPr>
                            <a:picLocks noChangeAspect="1" noChangeArrowheads="1"/>
                          </pic:cNvPicPr>
                        </pic:nvPicPr>
                        <pic:blipFill>
                          <a:blip r:embed="rId8" cstate="print"/>
                          <a:srcRect l="5338" t="11218" r="4162"/>
                          <a:stretch>
                            <a:fillRect/>
                          </a:stretch>
                        </pic:blipFill>
                        <pic:spPr bwMode="auto">
                          <a:xfrm>
                            <a:off x="0" y="0"/>
                            <a:ext cx="530860" cy="4165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0A1A68" w:rsidRPr="000A1A68">
              <w:rPr>
                <w:rFonts w:ascii="Arial Narrow" w:hAnsi="Arial Narrow" w:cs="Arial"/>
                <w:b/>
                <w:sz w:val="20"/>
                <w:szCs w:val="20"/>
              </w:rPr>
              <w:t xml:space="preserve">The purpose of the “Problem On-Sale and Off-Sale Outlets by City” and “Community Identified Non-ABC Licensed Locations” </w:t>
            </w:r>
            <w:r w:rsidR="00B96322">
              <w:rPr>
                <w:rFonts w:ascii="Arial Narrow" w:hAnsi="Arial Narrow" w:cs="Arial"/>
                <w:b/>
                <w:sz w:val="20"/>
                <w:szCs w:val="20"/>
              </w:rPr>
              <w:t>sections were</w:t>
            </w:r>
            <w:r w:rsidR="000A1A68">
              <w:rPr>
                <w:rFonts w:ascii="Arial Narrow" w:hAnsi="Arial Narrow" w:cs="Arial"/>
                <w:b/>
                <w:sz w:val="20"/>
                <w:szCs w:val="20"/>
              </w:rPr>
              <w:t xml:space="preserve"> to identify locations at higher risk for underage alcohol sales</w:t>
            </w:r>
            <w:r>
              <w:rPr>
                <w:rFonts w:ascii="Arial Narrow" w:hAnsi="Arial Narrow" w:cs="Arial"/>
                <w:b/>
                <w:sz w:val="20"/>
                <w:szCs w:val="20"/>
              </w:rPr>
              <w:t>, and</w:t>
            </w:r>
            <w:r>
              <w:t xml:space="preserve"> </w:t>
            </w:r>
            <w:r w:rsidRPr="003204A5">
              <w:rPr>
                <w:rFonts w:ascii="Arial Narrow" w:hAnsi="Arial Narrow"/>
                <w:b/>
                <w:sz w:val="20"/>
                <w:szCs w:val="20"/>
              </w:rPr>
              <w:t>help determine if alcohol sales points are a primary contributing factor to underage alcohol consumption/norms</w:t>
            </w:r>
            <w:r w:rsidR="000A1A68" w:rsidRPr="003204A5">
              <w:rPr>
                <w:rFonts w:ascii="Arial Narrow" w:hAnsi="Arial Narrow" w:cs="Arial"/>
                <w:b/>
                <w:sz w:val="20"/>
                <w:szCs w:val="20"/>
              </w:rPr>
              <w:t>.</w:t>
            </w:r>
            <w:r w:rsidR="000A1A68">
              <w:rPr>
                <w:rFonts w:ascii="Arial Narrow" w:hAnsi="Arial Narrow" w:cs="Arial"/>
                <w:b/>
                <w:sz w:val="20"/>
                <w:szCs w:val="20"/>
              </w:rPr>
              <w:t xml:space="preserve"> Describe </w:t>
            </w:r>
            <w:r w:rsidR="00181B8D">
              <w:rPr>
                <w:rFonts w:ascii="Arial Narrow" w:hAnsi="Arial Narrow" w:cs="Arial"/>
                <w:b/>
                <w:sz w:val="20"/>
                <w:szCs w:val="20"/>
              </w:rPr>
              <w:t xml:space="preserve">any key findings </w:t>
            </w:r>
            <w:r>
              <w:rPr>
                <w:rFonts w:ascii="Arial Narrow" w:hAnsi="Arial Narrow" w:cs="Arial"/>
                <w:b/>
                <w:sz w:val="20"/>
                <w:szCs w:val="20"/>
              </w:rPr>
              <w:t>and service implications here</w:t>
            </w:r>
            <w:r w:rsidR="00181B8D">
              <w:rPr>
                <w:rFonts w:ascii="Arial Narrow" w:hAnsi="Arial Narrow" w:cs="Arial"/>
                <w:b/>
                <w:sz w:val="20"/>
                <w:szCs w:val="20"/>
              </w:rPr>
              <w:t>.</w:t>
            </w:r>
          </w:p>
        </w:tc>
      </w:tr>
      <w:tr w:rsidR="000A1A68" w:rsidTr="00367759">
        <w:trPr>
          <w:trHeight w:val="3990"/>
        </w:trPr>
        <w:tc>
          <w:tcPr>
            <w:tcW w:w="10350" w:type="dxa"/>
            <w:tcBorders>
              <w:top w:val="threeDEmboss" w:sz="12" w:space="0" w:color="auto"/>
              <w:left w:val="threeDEmboss" w:sz="12" w:space="0" w:color="auto"/>
              <w:bottom w:val="threeDEmboss" w:sz="12" w:space="0" w:color="auto"/>
              <w:right w:val="threeDEmboss" w:sz="12" w:space="0" w:color="auto"/>
            </w:tcBorders>
            <w:vAlign w:val="center"/>
          </w:tcPr>
          <w:p w:rsidR="000A1A68" w:rsidRPr="005B0C4A" w:rsidRDefault="000A1A68" w:rsidP="000A1A68">
            <w:pPr>
              <w:rPr>
                <w:rFonts w:ascii="Arial" w:hAnsi="Arial" w:cs="Arial"/>
                <w:sz w:val="18"/>
                <w:szCs w:val="18"/>
              </w:rPr>
            </w:pPr>
            <w:r>
              <w:rPr>
                <w:rFonts w:ascii="Arial" w:hAnsi="Arial" w:cs="Arial"/>
                <w:sz w:val="18"/>
                <w:szCs w:val="18"/>
              </w:rPr>
              <w:t>[INSERT RESPONSE HERE]</w:t>
            </w:r>
          </w:p>
        </w:tc>
      </w:tr>
    </w:tbl>
    <w:p w:rsidR="000A1A68" w:rsidRPr="00BA181C" w:rsidRDefault="000A1A68" w:rsidP="00556DCF">
      <w:pPr>
        <w:rPr>
          <w:rFonts w:ascii="Arial" w:hAnsi="Arial" w:cs="Arial"/>
          <w:sz w:val="20"/>
          <w:szCs w:val="20"/>
        </w:rPr>
      </w:pPr>
    </w:p>
    <w:p w:rsidR="005B0C4A" w:rsidRDefault="005B0C4A" w:rsidP="00556DCF">
      <w:pPr>
        <w:rPr>
          <w:rFonts w:ascii="Arial" w:hAnsi="Arial" w:cs="Arial"/>
          <w:sz w:val="20"/>
          <w:szCs w:val="20"/>
        </w:rPr>
      </w:pPr>
    </w:p>
    <w:tbl>
      <w:tblPr>
        <w:tblW w:w="1035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350"/>
      </w:tblGrid>
      <w:tr w:rsidR="00181B8D" w:rsidTr="003204A5">
        <w:trPr>
          <w:trHeight w:val="1128"/>
        </w:trPr>
        <w:tc>
          <w:tcPr>
            <w:tcW w:w="10350"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181B8D" w:rsidRPr="00181B8D" w:rsidRDefault="00181B8D" w:rsidP="00181B8D">
            <w:pPr>
              <w:rPr>
                <w:rFonts w:ascii="Arial Narrow" w:hAnsi="Arial Narrow" w:cs="Arial"/>
                <w:b/>
                <w:sz w:val="10"/>
                <w:szCs w:val="10"/>
              </w:rPr>
            </w:pPr>
            <w:r>
              <w:rPr>
                <w:rFonts w:ascii="Arial Narrow" w:hAnsi="Arial Narrow" w:cs="Arial"/>
                <w:b/>
                <w:noProof/>
                <w:sz w:val="10"/>
                <w:szCs w:val="10"/>
              </w:rPr>
              <w:drawing>
                <wp:anchor distT="0" distB="0" distL="114300" distR="114300" simplePos="0" relativeHeight="251669504" behindDoc="0" locked="0" layoutInCell="1" allowOverlap="1">
                  <wp:simplePos x="0" y="0"/>
                  <wp:positionH relativeFrom="column">
                    <wp:posOffset>-672465</wp:posOffset>
                  </wp:positionH>
                  <wp:positionV relativeFrom="paragraph">
                    <wp:posOffset>56515</wp:posOffset>
                  </wp:positionV>
                  <wp:extent cx="506095" cy="545465"/>
                  <wp:effectExtent l="133350" t="38100" r="65405" b="64135"/>
                  <wp:wrapSquare wrapText="bothSides"/>
                  <wp:docPr id="4" name="Picture 1" descr="http://ts1.mm.bing.net/images/thumbnail.aspx?q=1238171461744&amp;id=90d15fb21a458360d1e1d942fd2b550b&amp;url=http%3a%2f%2fwww.dreamstime.com%2fbus-shelter-thumb587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images/thumbnail.aspx?q=1238171461744&amp;id=90d15fb21a458360d1e1d942fd2b550b&amp;url=http%3a%2f%2fwww.dreamstime.com%2fbus-shelter-thumb5872661.jpg"/>
                          <pic:cNvPicPr>
                            <a:picLocks noChangeAspect="1" noChangeArrowheads="1"/>
                          </pic:cNvPicPr>
                        </pic:nvPicPr>
                        <pic:blipFill>
                          <a:blip r:embed="rId9" cstate="print"/>
                          <a:srcRect l="9212" t="6142" r="7272" b="9373"/>
                          <a:stretch>
                            <a:fillRect/>
                          </a:stretch>
                        </pic:blipFill>
                        <pic:spPr bwMode="auto">
                          <a:xfrm>
                            <a:off x="0" y="0"/>
                            <a:ext cx="506095" cy="5454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81B8D" w:rsidRPr="003204A5" w:rsidRDefault="00181B8D" w:rsidP="00101CCA">
            <w:pPr>
              <w:rPr>
                <w:rFonts w:ascii="Arial Narrow" w:hAnsi="Arial Narrow" w:cs="Arial"/>
                <w:b/>
                <w:sz w:val="20"/>
                <w:szCs w:val="20"/>
              </w:rPr>
            </w:pPr>
            <w:r w:rsidRPr="003204A5">
              <w:rPr>
                <w:rFonts w:ascii="Arial Narrow" w:hAnsi="Arial Narrow" w:cs="Arial"/>
                <w:b/>
                <w:sz w:val="20"/>
                <w:szCs w:val="20"/>
              </w:rPr>
              <w:t xml:space="preserve">The purpose of the “Alcohol and Marijuana Focused Advertising in Public Locations” </w:t>
            </w:r>
            <w:r w:rsidR="00B96322">
              <w:rPr>
                <w:rFonts w:ascii="Arial Narrow" w:hAnsi="Arial Narrow" w:cs="Arial"/>
                <w:b/>
                <w:sz w:val="20"/>
                <w:szCs w:val="20"/>
              </w:rPr>
              <w:t>sections were</w:t>
            </w:r>
            <w:r w:rsidRPr="003204A5">
              <w:rPr>
                <w:rFonts w:ascii="Arial Narrow" w:hAnsi="Arial Narrow" w:cs="Arial"/>
                <w:b/>
                <w:sz w:val="20"/>
                <w:szCs w:val="20"/>
              </w:rPr>
              <w:t xml:space="preserve"> to identify where and how alcohol and medical marijuana is advertised on public and private property in the target area</w:t>
            </w:r>
            <w:r w:rsidR="003204A5" w:rsidRPr="003204A5">
              <w:rPr>
                <w:rFonts w:ascii="Arial Narrow" w:hAnsi="Arial Narrow" w:cs="Arial"/>
                <w:b/>
                <w:sz w:val="20"/>
                <w:szCs w:val="20"/>
              </w:rPr>
              <w:t xml:space="preserve">, and </w:t>
            </w:r>
            <w:r w:rsidR="003204A5" w:rsidRPr="003204A5">
              <w:rPr>
                <w:rFonts w:ascii="Arial Narrow" w:hAnsi="Arial Narrow"/>
                <w:b/>
                <w:sz w:val="20"/>
                <w:szCs w:val="20"/>
              </w:rPr>
              <w:t>help determine if alcohol and/or medical marijuana advertisements are a primary contributing factor to underage alcohol consumption/norms or marijuana use/norms</w:t>
            </w:r>
            <w:r w:rsidRPr="003204A5">
              <w:rPr>
                <w:rFonts w:ascii="Arial Narrow" w:hAnsi="Arial Narrow" w:cs="Arial"/>
                <w:b/>
                <w:sz w:val="20"/>
                <w:szCs w:val="20"/>
              </w:rPr>
              <w:t xml:space="preserve">. Describe any </w:t>
            </w:r>
            <w:r w:rsidR="00B96322">
              <w:rPr>
                <w:rFonts w:ascii="Arial Narrow" w:hAnsi="Arial Narrow" w:cs="Arial"/>
                <w:b/>
                <w:sz w:val="20"/>
                <w:szCs w:val="20"/>
              </w:rPr>
              <w:t xml:space="preserve">key findings </w:t>
            </w:r>
            <w:r w:rsidR="003204A5" w:rsidRPr="003204A5">
              <w:rPr>
                <w:rFonts w:ascii="Arial Narrow" w:hAnsi="Arial Narrow" w:cs="Arial"/>
                <w:b/>
                <w:sz w:val="20"/>
                <w:szCs w:val="20"/>
              </w:rPr>
              <w:t>or service implications here</w:t>
            </w:r>
            <w:r w:rsidRPr="003204A5">
              <w:rPr>
                <w:rFonts w:ascii="Arial Narrow" w:hAnsi="Arial Narrow" w:cs="Arial"/>
                <w:b/>
                <w:sz w:val="20"/>
                <w:szCs w:val="20"/>
              </w:rPr>
              <w:t>.</w:t>
            </w:r>
          </w:p>
        </w:tc>
      </w:tr>
      <w:tr w:rsidR="00181B8D" w:rsidTr="00367759">
        <w:trPr>
          <w:trHeight w:val="4350"/>
        </w:trPr>
        <w:tc>
          <w:tcPr>
            <w:tcW w:w="10350" w:type="dxa"/>
            <w:tcBorders>
              <w:top w:val="threeDEmboss" w:sz="12" w:space="0" w:color="auto"/>
              <w:left w:val="threeDEmboss" w:sz="12" w:space="0" w:color="auto"/>
              <w:bottom w:val="threeDEmboss" w:sz="12" w:space="0" w:color="auto"/>
              <w:right w:val="threeDEmboss" w:sz="12" w:space="0" w:color="auto"/>
            </w:tcBorders>
            <w:vAlign w:val="center"/>
          </w:tcPr>
          <w:p w:rsidR="00181B8D" w:rsidRPr="005B0C4A" w:rsidRDefault="00181B8D" w:rsidP="00181B8D">
            <w:pPr>
              <w:rPr>
                <w:rFonts w:ascii="Arial" w:hAnsi="Arial" w:cs="Arial"/>
                <w:sz w:val="18"/>
                <w:szCs w:val="18"/>
              </w:rPr>
            </w:pPr>
            <w:r>
              <w:rPr>
                <w:rFonts w:ascii="Arial" w:hAnsi="Arial" w:cs="Arial"/>
                <w:sz w:val="18"/>
                <w:szCs w:val="18"/>
              </w:rPr>
              <w:t>[INSERT RESPONSE HERE]</w:t>
            </w:r>
          </w:p>
        </w:tc>
      </w:tr>
    </w:tbl>
    <w:p w:rsidR="00181B8D" w:rsidRDefault="00181B8D" w:rsidP="00181B8D">
      <w:pPr>
        <w:pStyle w:val="ListParagraph"/>
        <w:ind w:left="450"/>
        <w:rPr>
          <w:rFonts w:ascii="Arial" w:hAnsi="Arial"/>
          <w:sz w:val="22"/>
          <w:szCs w:val="22"/>
        </w:rPr>
      </w:pPr>
    </w:p>
    <w:p w:rsidR="00181B8D" w:rsidRPr="00181B8D" w:rsidRDefault="00181B8D" w:rsidP="00181B8D">
      <w:pPr>
        <w:pStyle w:val="ListParagraph"/>
        <w:ind w:left="450"/>
        <w:rPr>
          <w:caps/>
        </w:rPr>
      </w:pPr>
    </w:p>
    <w:tbl>
      <w:tblPr>
        <w:tblW w:w="1035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350"/>
      </w:tblGrid>
      <w:tr w:rsidR="00181B8D" w:rsidTr="00181B8D">
        <w:trPr>
          <w:trHeight w:val="939"/>
        </w:trPr>
        <w:tc>
          <w:tcPr>
            <w:tcW w:w="10350"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3204A5" w:rsidRPr="003204A5" w:rsidRDefault="003204A5" w:rsidP="003204A5">
            <w:pPr>
              <w:rPr>
                <w:rFonts w:ascii="Arial Narrow" w:hAnsi="Arial Narrow" w:cs="Arial"/>
                <w:b/>
                <w:sz w:val="10"/>
                <w:szCs w:val="10"/>
              </w:rPr>
            </w:pPr>
          </w:p>
          <w:p w:rsidR="00181B8D" w:rsidRPr="003204A5" w:rsidRDefault="003204A5" w:rsidP="003204A5">
            <w:pPr>
              <w:rPr>
                <w:rFonts w:ascii="Arial Narrow" w:hAnsi="Arial Narrow" w:cs="Arial"/>
                <w:b/>
                <w:sz w:val="20"/>
                <w:szCs w:val="20"/>
              </w:rPr>
            </w:pPr>
            <w:r>
              <w:rPr>
                <w:rFonts w:ascii="Arial Narrow" w:hAnsi="Arial Narrow" w:cs="Arial"/>
                <w:b/>
                <w:noProof/>
                <w:sz w:val="20"/>
                <w:szCs w:val="20"/>
              </w:rPr>
              <w:drawing>
                <wp:anchor distT="0" distB="0" distL="114300" distR="114300" simplePos="0" relativeHeight="251670528" behindDoc="0" locked="0" layoutInCell="1" allowOverlap="1">
                  <wp:simplePos x="0" y="0"/>
                  <wp:positionH relativeFrom="column">
                    <wp:posOffset>-699770</wp:posOffset>
                  </wp:positionH>
                  <wp:positionV relativeFrom="paragraph">
                    <wp:posOffset>93980</wp:posOffset>
                  </wp:positionV>
                  <wp:extent cx="548005" cy="501650"/>
                  <wp:effectExtent l="95250" t="38100" r="61595" b="69850"/>
                  <wp:wrapSquare wrapText="bothSides"/>
                  <wp:docPr id="6" name="Picture 10" descr="http://t3.gstatic.com/images?q=tbn:ANd9GcR52XZw711HB2n1hyvhkLbTRyQuD343lErwHRLVTUp6jFLmOOaLQsp5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3.gstatic.com/images?q=tbn:ANd9GcR52XZw711HB2n1hyvhkLbTRyQuD343lErwHRLVTUp6jFLmOOaLQsp5tg">
                            <a:hlinkClick r:id="rId10"/>
                          </pic:cNvPr>
                          <pic:cNvPicPr>
                            <a:picLocks noChangeAspect="1" noChangeArrowheads="1"/>
                          </pic:cNvPicPr>
                        </pic:nvPicPr>
                        <pic:blipFill>
                          <a:blip r:embed="rId11" cstate="print"/>
                          <a:srcRect l="10056" t="10390" r="10974" b="7792"/>
                          <a:stretch>
                            <a:fillRect/>
                          </a:stretch>
                        </pic:blipFill>
                        <pic:spPr bwMode="auto">
                          <a:xfrm>
                            <a:off x="0" y="0"/>
                            <a:ext cx="548005" cy="501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181B8D" w:rsidRPr="003204A5">
              <w:rPr>
                <w:rFonts w:ascii="Arial Narrow" w:hAnsi="Arial Narrow" w:cs="Arial"/>
                <w:b/>
                <w:sz w:val="20"/>
                <w:szCs w:val="20"/>
              </w:rPr>
              <w:t>The purpose of the “</w:t>
            </w:r>
            <w:r w:rsidRPr="003204A5">
              <w:rPr>
                <w:rFonts w:ascii="Arial Narrow" w:hAnsi="Arial Narrow" w:cs="Arial"/>
                <w:b/>
                <w:sz w:val="20"/>
                <w:szCs w:val="20"/>
              </w:rPr>
              <w:t>Marijuana Dispensaries/Store Front Sales</w:t>
            </w:r>
            <w:r w:rsidR="00181B8D" w:rsidRPr="003204A5">
              <w:rPr>
                <w:rFonts w:ascii="Arial Narrow" w:hAnsi="Arial Narrow" w:cs="Arial"/>
                <w:b/>
                <w:sz w:val="20"/>
                <w:szCs w:val="20"/>
              </w:rPr>
              <w:t>”</w:t>
            </w:r>
            <w:r w:rsidRPr="003204A5">
              <w:rPr>
                <w:rFonts w:ascii="Arial Narrow" w:hAnsi="Arial Narrow" w:cs="Arial"/>
                <w:b/>
                <w:sz w:val="20"/>
                <w:szCs w:val="20"/>
              </w:rPr>
              <w:t xml:space="preserve"> </w:t>
            </w:r>
            <w:r>
              <w:rPr>
                <w:rFonts w:ascii="Arial Narrow" w:hAnsi="Arial Narrow" w:cs="Arial"/>
                <w:b/>
                <w:sz w:val="20"/>
                <w:szCs w:val="20"/>
              </w:rPr>
              <w:t>section was</w:t>
            </w:r>
            <w:r w:rsidR="00181B8D" w:rsidRPr="003204A5">
              <w:rPr>
                <w:rFonts w:ascii="Arial Narrow" w:hAnsi="Arial Narrow" w:cs="Arial"/>
                <w:b/>
                <w:sz w:val="20"/>
                <w:szCs w:val="20"/>
              </w:rPr>
              <w:t xml:space="preserve"> to identify </w:t>
            </w:r>
            <w:r w:rsidRPr="003204A5">
              <w:rPr>
                <w:rFonts w:ascii="Arial Narrow" w:hAnsi="Arial Narrow"/>
                <w:b/>
                <w:sz w:val="20"/>
                <w:szCs w:val="20"/>
              </w:rPr>
              <w:t>where medical marijuana dispensaries are located in the target area and how they are identified</w:t>
            </w:r>
            <w:r>
              <w:rPr>
                <w:rFonts w:ascii="Arial Narrow" w:hAnsi="Arial Narrow"/>
                <w:b/>
                <w:sz w:val="20"/>
                <w:szCs w:val="20"/>
              </w:rPr>
              <w:t xml:space="preserve">, and </w:t>
            </w:r>
            <w:r w:rsidRPr="003204A5">
              <w:rPr>
                <w:rFonts w:ascii="Arial Narrow" w:hAnsi="Arial Narrow"/>
                <w:b/>
                <w:sz w:val="20"/>
                <w:szCs w:val="20"/>
              </w:rPr>
              <w:t>help determine whether local marijuana dispensaries are in fact nuisance locations and if signage contributes to pro-marijuana norms and/or misuse by adolescents and young adults without a valid medical marijuana card</w:t>
            </w:r>
            <w:r>
              <w:rPr>
                <w:rFonts w:ascii="Arial Narrow" w:hAnsi="Arial Narrow"/>
                <w:b/>
                <w:sz w:val="20"/>
                <w:szCs w:val="20"/>
              </w:rPr>
              <w:t xml:space="preserve">. </w:t>
            </w:r>
            <w:r w:rsidR="00181B8D" w:rsidRPr="003204A5">
              <w:rPr>
                <w:rFonts w:ascii="Arial Narrow" w:hAnsi="Arial Narrow" w:cs="Arial"/>
                <w:b/>
                <w:sz w:val="20"/>
                <w:szCs w:val="20"/>
              </w:rPr>
              <w:t xml:space="preserve">Describe any key findings </w:t>
            </w:r>
            <w:r>
              <w:rPr>
                <w:rFonts w:ascii="Arial Narrow" w:hAnsi="Arial Narrow" w:cs="Arial"/>
                <w:b/>
                <w:sz w:val="20"/>
                <w:szCs w:val="20"/>
              </w:rPr>
              <w:t>and service implications here.</w:t>
            </w:r>
            <w:r w:rsidR="00B96322">
              <w:rPr>
                <w:rFonts w:ascii="Arial Narrow" w:hAnsi="Arial Narrow" w:cs="Arial"/>
                <w:b/>
                <w:sz w:val="20"/>
                <w:szCs w:val="20"/>
              </w:rPr>
              <w:t xml:space="preserve"> Include the optional “Head Shops/Drug Paraphernalia” section too if applicable. </w:t>
            </w:r>
          </w:p>
        </w:tc>
      </w:tr>
      <w:tr w:rsidR="00181B8D" w:rsidTr="00C802BF">
        <w:trPr>
          <w:trHeight w:val="3342"/>
        </w:trPr>
        <w:tc>
          <w:tcPr>
            <w:tcW w:w="10350" w:type="dxa"/>
            <w:tcBorders>
              <w:top w:val="threeDEmboss" w:sz="12" w:space="0" w:color="auto"/>
              <w:left w:val="threeDEmboss" w:sz="12" w:space="0" w:color="auto"/>
              <w:bottom w:val="threeDEmboss" w:sz="12" w:space="0" w:color="auto"/>
              <w:right w:val="threeDEmboss" w:sz="12" w:space="0" w:color="auto"/>
            </w:tcBorders>
            <w:vAlign w:val="center"/>
          </w:tcPr>
          <w:p w:rsidR="00181B8D" w:rsidRPr="005B0C4A" w:rsidRDefault="00181B8D" w:rsidP="00181B8D">
            <w:pPr>
              <w:rPr>
                <w:rFonts w:ascii="Arial" w:hAnsi="Arial" w:cs="Arial"/>
                <w:sz w:val="18"/>
                <w:szCs w:val="18"/>
              </w:rPr>
            </w:pPr>
            <w:r>
              <w:rPr>
                <w:rFonts w:ascii="Arial" w:hAnsi="Arial" w:cs="Arial"/>
                <w:sz w:val="18"/>
                <w:szCs w:val="18"/>
              </w:rPr>
              <w:t>[INSERT RESPONSE HERE]</w:t>
            </w:r>
          </w:p>
        </w:tc>
      </w:tr>
    </w:tbl>
    <w:p w:rsidR="00AD20F7" w:rsidRDefault="00AD20F7" w:rsidP="00AD20F7">
      <w:r>
        <w:t xml:space="preserve"> </w:t>
      </w:r>
    </w:p>
    <w:p w:rsidR="00367759" w:rsidRDefault="00367759" w:rsidP="00AD20F7"/>
    <w:tbl>
      <w:tblPr>
        <w:tblW w:w="1035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350"/>
      </w:tblGrid>
      <w:tr w:rsidR="00367759" w:rsidTr="00367759">
        <w:trPr>
          <w:trHeight w:val="948"/>
        </w:trPr>
        <w:tc>
          <w:tcPr>
            <w:tcW w:w="10350"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367759" w:rsidRPr="003204A5" w:rsidRDefault="00367759" w:rsidP="00367759">
            <w:pPr>
              <w:rPr>
                <w:rFonts w:ascii="Arial Narrow" w:hAnsi="Arial Narrow" w:cs="Arial"/>
                <w:b/>
                <w:sz w:val="10"/>
                <w:szCs w:val="10"/>
              </w:rPr>
            </w:pPr>
            <w:r>
              <w:rPr>
                <w:rFonts w:ascii="Arial Narrow" w:hAnsi="Arial Narrow" w:cs="Arial"/>
                <w:b/>
                <w:noProof/>
                <w:sz w:val="10"/>
                <w:szCs w:val="10"/>
              </w:rPr>
              <w:drawing>
                <wp:anchor distT="0" distB="0" distL="114300" distR="114300" simplePos="0" relativeHeight="251672576" behindDoc="0" locked="0" layoutInCell="1" allowOverlap="1">
                  <wp:simplePos x="0" y="0"/>
                  <wp:positionH relativeFrom="column">
                    <wp:posOffset>78105</wp:posOffset>
                  </wp:positionH>
                  <wp:positionV relativeFrom="paragraph">
                    <wp:posOffset>111760</wp:posOffset>
                  </wp:positionV>
                  <wp:extent cx="568325" cy="443865"/>
                  <wp:effectExtent l="133350" t="38100" r="79375" b="70485"/>
                  <wp:wrapSquare wrapText="bothSides"/>
                  <wp:docPr id="8" name="Picture 23" descr="http://t3.gstatic.com/images?q=tbn:ANd9GcRGDQlInX04DWc5Djox4C93hk0UZ4pNNambzeroGNKvwQop8-OGhMgFDS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3.gstatic.com/images?q=tbn:ANd9GcRGDQlInX04DWc5Djox4C93hk0UZ4pNNambzeroGNKvwQop8-OGhMgFDSxY"/>
                          <pic:cNvPicPr>
                            <a:picLocks noChangeAspect="1" noChangeArrowheads="1"/>
                          </pic:cNvPicPr>
                        </pic:nvPicPr>
                        <pic:blipFill>
                          <a:blip r:embed="rId12" cstate="print"/>
                          <a:srcRect l="12160" t="3841" r="12801" b="6720"/>
                          <a:stretch>
                            <a:fillRect/>
                          </a:stretch>
                        </pic:blipFill>
                        <pic:spPr bwMode="auto">
                          <a:xfrm>
                            <a:off x="0" y="0"/>
                            <a:ext cx="568325" cy="4438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367759" w:rsidRPr="00367759" w:rsidRDefault="00367759" w:rsidP="00367759">
            <w:pPr>
              <w:rPr>
                <w:rFonts w:ascii="Arial Narrow" w:hAnsi="Arial Narrow"/>
                <w:b/>
                <w:sz w:val="20"/>
                <w:szCs w:val="20"/>
              </w:rPr>
            </w:pPr>
            <w:r w:rsidRPr="00367759">
              <w:rPr>
                <w:rFonts w:ascii="Arial Narrow" w:hAnsi="Arial Narrow" w:cs="Arial"/>
                <w:b/>
                <w:sz w:val="20"/>
                <w:szCs w:val="20"/>
              </w:rPr>
              <w:t xml:space="preserve">The purpose of the “Locations Where Drug Sales Are Common” section was to identify </w:t>
            </w:r>
            <w:r w:rsidRPr="00367759">
              <w:rPr>
                <w:rFonts w:ascii="Arial Narrow" w:hAnsi="Arial Narrow"/>
                <w:b/>
                <w:sz w:val="20"/>
                <w:szCs w:val="20"/>
              </w:rPr>
              <w:t xml:space="preserve">locations where illicit drug use and sales is a regular occurrence, and help determine whether the presence of such locations impact the availability of safe community space, public safety overall, actual drug use by youth and young adults, and/or social norms around illicit drug use. </w:t>
            </w:r>
            <w:r w:rsidRPr="00367759">
              <w:rPr>
                <w:rFonts w:ascii="Arial Narrow" w:hAnsi="Arial Narrow" w:cs="Arial"/>
                <w:b/>
                <w:sz w:val="20"/>
                <w:szCs w:val="20"/>
              </w:rPr>
              <w:t>Describe any key findings and service implications here.</w:t>
            </w:r>
          </w:p>
        </w:tc>
      </w:tr>
      <w:tr w:rsidR="00367759" w:rsidTr="00C802BF">
        <w:trPr>
          <w:trHeight w:val="3279"/>
        </w:trPr>
        <w:tc>
          <w:tcPr>
            <w:tcW w:w="10350" w:type="dxa"/>
            <w:tcBorders>
              <w:top w:val="threeDEmboss" w:sz="12" w:space="0" w:color="auto"/>
              <w:left w:val="threeDEmboss" w:sz="12" w:space="0" w:color="auto"/>
              <w:bottom w:val="threeDEmboss" w:sz="12" w:space="0" w:color="auto"/>
              <w:right w:val="threeDEmboss" w:sz="12" w:space="0" w:color="auto"/>
            </w:tcBorders>
            <w:vAlign w:val="center"/>
          </w:tcPr>
          <w:p w:rsidR="00367759" w:rsidRPr="005B0C4A" w:rsidRDefault="00367759" w:rsidP="00367759">
            <w:pPr>
              <w:rPr>
                <w:rFonts w:ascii="Arial" w:hAnsi="Arial" w:cs="Arial"/>
                <w:sz w:val="18"/>
                <w:szCs w:val="18"/>
              </w:rPr>
            </w:pPr>
            <w:r>
              <w:rPr>
                <w:rFonts w:ascii="Arial" w:hAnsi="Arial" w:cs="Arial"/>
                <w:sz w:val="18"/>
                <w:szCs w:val="18"/>
              </w:rPr>
              <w:t>[INSERT RESPONSE HERE]</w:t>
            </w:r>
          </w:p>
        </w:tc>
      </w:tr>
    </w:tbl>
    <w:p w:rsidR="00367759" w:rsidRDefault="00367759" w:rsidP="00AD20F7"/>
    <w:p w:rsidR="00367759" w:rsidRDefault="00367759" w:rsidP="00AD20F7"/>
    <w:tbl>
      <w:tblPr>
        <w:tblW w:w="1035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350"/>
      </w:tblGrid>
      <w:tr w:rsidR="00367759" w:rsidTr="00367759">
        <w:trPr>
          <w:trHeight w:val="597"/>
        </w:trPr>
        <w:tc>
          <w:tcPr>
            <w:tcW w:w="10350"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vAlign w:val="center"/>
          </w:tcPr>
          <w:p w:rsidR="00367759" w:rsidRPr="003204A5" w:rsidRDefault="00367759" w:rsidP="00367759">
            <w:pPr>
              <w:rPr>
                <w:rFonts w:ascii="Arial Narrow" w:hAnsi="Arial Narrow" w:cs="Arial"/>
                <w:b/>
                <w:sz w:val="10"/>
                <w:szCs w:val="10"/>
              </w:rPr>
            </w:pPr>
          </w:p>
          <w:p w:rsidR="00367759" w:rsidRPr="00367759" w:rsidRDefault="00367759" w:rsidP="00367759">
            <w:pPr>
              <w:rPr>
                <w:rFonts w:ascii="Arial Narrow" w:hAnsi="Arial Narrow"/>
                <w:b/>
                <w:sz w:val="20"/>
                <w:szCs w:val="20"/>
              </w:rPr>
            </w:pPr>
            <w:r>
              <w:rPr>
                <w:rFonts w:ascii="Arial Narrow" w:hAnsi="Arial Narrow" w:cs="Arial"/>
                <w:b/>
                <w:sz w:val="20"/>
                <w:szCs w:val="20"/>
              </w:rPr>
              <w:t>Describe any other key findings or recommendations regarding conducting environmental scans here:</w:t>
            </w:r>
          </w:p>
        </w:tc>
      </w:tr>
      <w:tr w:rsidR="00367759" w:rsidTr="00367759">
        <w:trPr>
          <w:trHeight w:val="1911"/>
        </w:trPr>
        <w:tc>
          <w:tcPr>
            <w:tcW w:w="10350" w:type="dxa"/>
            <w:tcBorders>
              <w:top w:val="threeDEmboss" w:sz="12" w:space="0" w:color="auto"/>
              <w:left w:val="threeDEmboss" w:sz="12" w:space="0" w:color="auto"/>
              <w:bottom w:val="threeDEmboss" w:sz="12" w:space="0" w:color="auto"/>
              <w:right w:val="threeDEmboss" w:sz="12" w:space="0" w:color="auto"/>
            </w:tcBorders>
            <w:vAlign w:val="center"/>
          </w:tcPr>
          <w:p w:rsidR="00367759" w:rsidRPr="005B0C4A" w:rsidRDefault="00367759" w:rsidP="00367759">
            <w:pPr>
              <w:rPr>
                <w:rFonts w:ascii="Arial" w:hAnsi="Arial" w:cs="Arial"/>
                <w:sz w:val="18"/>
                <w:szCs w:val="18"/>
              </w:rPr>
            </w:pPr>
            <w:r>
              <w:rPr>
                <w:rFonts w:ascii="Arial" w:hAnsi="Arial" w:cs="Arial"/>
                <w:sz w:val="18"/>
                <w:szCs w:val="18"/>
              </w:rPr>
              <w:t>[INSERT RESPONSE HERE]</w:t>
            </w:r>
          </w:p>
        </w:tc>
      </w:tr>
    </w:tbl>
    <w:p w:rsidR="00367759" w:rsidRDefault="00367759" w:rsidP="00AD20F7"/>
    <w:sectPr w:rsidR="00367759" w:rsidSect="00AA0CF2">
      <w:headerReference w:type="default" r:id="rId13"/>
      <w:footerReference w:type="even" r:id="rId14"/>
      <w:footerReference w:type="default" r:id="rId15"/>
      <w:pgSz w:w="12240" w:h="15840" w:code="1"/>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C8" w:rsidRDefault="00A35FC8">
      <w:r>
        <w:separator/>
      </w:r>
    </w:p>
  </w:endnote>
  <w:endnote w:type="continuationSeparator" w:id="0">
    <w:p w:rsidR="00A35FC8" w:rsidRDefault="00A35F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C8" w:rsidRDefault="00392B53" w:rsidP="00567BA6">
    <w:pPr>
      <w:pStyle w:val="Footer"/>
      <w:framePr w:wrap="around" w:vAnchor="text" w:hAnchor="margin" w:xAlign="right" w:y="1"/>
      <w:rPr>
        <w:rStyle w:val="PageNumber"/>
      </w:rPr>
    </w:pPr>
    <w:r>
      <w:rPr>
        <w:rStyle w:val="PageNumber"/>
      </w:rPr>
      <w:fldChar w:fldCharType="begin"/>
    </w:r>
    <w:r w:rsidR="00A35FC8">
      <w:rPr>
        <w:rStyle w:val="PageNumber"/>
      </w:rPr>
      <w:instrText xml:space="preserve">PAGE  </w:instrText>
    </w:r>
    <w:r>
      <w:rPr>
        <w:rStyle w:val="PageNumber"/>
      </w:rPr>
      <w:fldChar w:fldCharType="end"/>
    </w:r>
  </w:p>
  <w:p w:rsidR="00A35FC8" w:rsidRDefault="00A35FC8" w:rsidP="00C266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18"/>
        <w:szCs w:val="18"/>
      </w:rPr>
      <w:id w:val="-1936813452"/>
      <w:docPartObj>
        <w:docPartGallery w:val="Page Numbers (Bottom of Page)"/>
        <w:docPartUnique/>
      </w:docPartObj>
    </w:sdtPr>
    <w:sdtContent>
      <w:sdt>
        <w:sdtPr>
          <w:rPr>
            <w:rFonts w:ascii="Arial Narrow" w:hAnsi="Arial Narrow"/>
            <w:sz w:val="18"/>
            <w:szCs w:val="18"/>
          </w:rPr>
          <w:id w:val="565050477"/>
          <w:docPartObj>
            <w:docPartGallery w:val="Page Numbers (Top of Page)"/>
            <w:docPartUnique/>
          </w:docPartObj>
        </w:sdtPr>
        <w:sdtContent>
          <w:p w:rsidR="00A35FC8" w:rsidRPr="00367759" w:rsidRDefault="00A35FC8" w:rsidP="00367759">
            <w:pPr>
              <w:pStyle w:val="Footer"/>
              <w:jc w:val="right"/>
              <w:rPr>
                <w:rFonts w:ascii="Arial Narrow" w:hAnsi="Arial Narrow"/>
                <w:sz w:val="18"/>
                <w:szCs w:val="18"/>
              </w:rPr>
            </w:pPr>
            <w:r w:rsidRPr="00367759">
              <w:rPr>
                <w:rFonts w:ascii="Arial Narrow" w:hAnsi="Arial Narrow"/>
                <w:sz w:val="18"/>
                <w:szCs w:val="18"/>
              </w:rPr>
              <w:t xml:space="preserve">Page </w:t>
            </w:r>
            <w:r w:rsidR="00392B53" w:rsidRPr="00367759">
              <w:rPr>
                <w:rFonts w:ascii="Arial Narrow" w:hAnsi="Arial Narrow"/>
                <w:sz w:val="18"/>
                <w:szCs w:val="18"/>
              </w:rPr>
              <w:fldChar w:fldCharType="begin"/>
            </w:r>
            <w:r w:rsidRPr="00367759">
              <w:rPr>
                <w:rFonts w:ascii="Arial Narrow" w:hAnsi="Arial Narrow"/>
                <w:sz w:val="18"/>
                <w:szCs w:val="18"/>
              </w:rPr>
              <w:instrText xml:space="preserve"> PAGE </w:instrText>
            </w:r>
            <w:r w:rsidR="00392B53" w:rsidRPr="00367759">
              <w:rPr>
                <w:rFonts w:ascii="Arial Narrow" w:hAnsi="Arial Narrow"/>
                <w:sz w:val="18"/>
                <w:szCs w:val="18"/>
              </w:rPr>
              <w:fldChar w:fldCharType="separate"/>
            </w:r>
            <w:r w:rsidR="00FA7CDF">
              <w:rPr>
                <w:rFonts w:ascii="Arial Narrow" w:hAnsi="Arial Narrow"/>
                <w:noProof/>
                <w:sz w:val="18"/>
                <w:szCs w:val="18"/>
              </w:rPr>
              <w:t>1</w:t>
            </w:r>
            <w:r w:rsidR="00392B53" w:rsidRPr="00367759">
              <w:rPr>
                <w:rFonts w:ascii="Arial Narrow" w:hAnsi="Arial Narrow"/>
                <w:sz w:val="18"/>
                <w:szCs w:val="18"/>
              </w:rPr>
              <w:fldChar w:fldCharType="end"/>
            </w:r>
            <w:r w:rsidRPr="00367759">
              <w:rPr>
                <w:rFonts w:ascii="Arial Narrow" w:hAnsi="Arial Narrow"/>
                <w:sz w:val="18"/>
                <w:szCs w:val="18"/>
              </w:rPr>
              <w:t xml:space="preserve"> of </w:t>
            </w:r>
            <w:r w:rsidR="00392B53" w:rsidRPr="00367759">
              <w:rPr>
                <w:rFonts w:ascii="Arial Narrow" w:hAnsi="Arial Narrow"/>
                <w:sz w:val="18"/>
                <w:szCs w:val="18"/>
              </w:rPr>
              <w:fldChar w:fldCharType="begin"/>
            </w:r>
            <w:r w:rsidRPr="00367759">
              <w:rPr>
                <w:rFonts w:ascii="Arial Narrow" w:hAnsi="Arial Narrow"/>
                <w:sz w:val="18"/>
                <w:szCs w:val="18"/>
              </w:rPr>
              <w:instrText xml:space="preserve"> NUMPAGES  </w:instrText>
            </w:r>
            <w:r w:rsidR="00392B53" w:rsidRPr="00367759">
              <w:rPr>
                <w:rFonts w:ascii="Arial Narrow" w:hAnsi="Arial Narrow"/>
                <w:sz w:val="18"/>
                <w:szCs w:val="18"/>
              </w:rPr>
              <w:fldChar w:fldCharType="separate"/>
            </w:r>
            <w:r w:rsidR="00FA7CDF">
              <w:rPr>
                <w:rFonts w:ascii="Arial Narrow" w:hAnsi="Arial Narrow"/>
                <w:noProof/>
                <w:sz w:val="18"/>
                <w:szCs w:val="18"/>
              </w:rPr>
              <w:t>3</w:t>
            </w:r>
            <w:r w:rsidR="00392B53" w:rsidRPr="00367759">
              <w:rPr>
                <w:rFonts w:ascii="Arial Narrow" w:hAnsi="Arial Narrow"/>
                <w:sz w:val="18"/>
                <w:szCs w:val="18"/>
              </w:rPr>
              <w:fldChar w:fldCharType="end"/>
            </w:r>
          </w:p>
        </w:sdtContent>
      </w:sdt>
    </w:sdtContent>
  </w:sdt>
  <w:p w:rsidR="00A35FC8" w:rsidRPr="00C266AC" w:rsidRDefault="00A35FC8" w:rsidP="00C266AC">
    <w:pPr>
      <w:pStyle w:val="Footer"/>
      <w:ind w:right="360"/>
      <w:rPr>
        <w:rFonts w:ascii="Tw Cen MT" w:hAnsi="Tw Cen MT"/>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C8" w:rsidRDefault="00A35FC8">
      <w:r>
        <w:separator/>
      </w:r>
    </w:p>
  </w:footnote>
  <w:footnote w:type="continuationSeparator" w:id="0">
    <w:p w:rsidR="00A35FC8" w:rsidRDefault="00A35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C8" w:rsidRDefault="00392B53">
    <w:pPr>
      <w:pStyle w:val="Header"/>
    </w:pPr>
    <w:r>
      <w:rPr>
        <w:noProof/>
      </w:rPr>
      <w:pict>
        <v:shapetype id="_x0000_t202" coordsize="21600,21600" o:spt="202" path="m,l,21600r21600,l21600,xe">
          <v:stroke joinstyle="miter"/>
          <v:path gradientshapeok="t" o:connecttype="rect"/>
        </v:shapetype>
        <v:shape id="_x0000_s35841" type="#_x0000_t202" style="position:absolute;margin-left:443.4pt;margin-top:-17.9pt;width:102.7pt;height:25.4pt;z-index:251658240" stroked="f">
          <v:textbox style="mso-next-textbox:#_x0000_s35841">
            <w:txbxContent>
              <w:p w:rsidR="00A35FC8" w:rsidRPr="00461D7E" w:rsidRDefault="00A35FC8" w:rsidP="00367759">
                <w:pPr>
                  <w:jc w:val="right"/>
                  <w:rPr>
                    <w:rFonts w:asciiTheme="minorHAnsi" w:hAnsiTheme="minorHAnsi"/>
                    <w:b/>
                  </w:rPr>
                </w:pPr>
                <w:r w:rsidRPr="00461D7E">
                  <w:rPr>
                    <w:rFonts w:asciiTheme="minorHAnsi" w:hAnsiTheme="minorHAnsi"/>
                    <w:b/>
                  </w:rPr>
                  <w:t xml:space="preserve">ATTACHMENT </w:t>
                </w:r>
                <w:r>
                  <w:rPr>
                    <w:rFonts w:asciiTheme="minorHAnsi" w:hAnsiTheme="minorHAnsi"/>
                    <w:b/>
                  </w:rPr>
                  <w:t>H</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87C"/>
    <w:multiLevelType w:val="hybridMultilevel"/>
    <w:tmpl w:val="3C20EC4C"/>
    <w:lvl w:ilvl="0" w:tplc="F1723184">
      <w:start w:val="3"/>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D95C7E"/>
    <w:multiLevelType w:val="hybridMultilevel"/>
    <w:tmpl w:val="20F608B6"/>
    <w:lvl w:ilvl="0" w:tplc="F1723184">
      <w:start w:val="3"/>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C719D2"/>
    <w:multiLevelType w:val="hybridMultilevel"/>
    <w:tmpl w:val="2A205434"/>
    <w:lvl w:ilvl="0" w:tplc="E70439CA">
      <w:start w:val="1"/>
      <w:numFmt w:val="upperLetter"/>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891947"/>
    <w:multiLevelType w:val="hybridMultilevel"/>
    <w:tmpl w:val="D09ED290"/>
    <w:lvl w:ilvl="0" w:tplc="F1723184">
      <w:start w:val="3"/>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1972C4"/>
    <w:multiLevelType w:val="hybridMultilevel"/>
    <w:tmpl w:val="F9CE1C84"/>
    <w:lvl w:ilvl="0" w:tplc="7902CFDE">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CC297E"/>
    <w:multiLevelType w:val="multilevel"/>
    <w:tmpl w:val="D09ED290"/>
    <w:lvl w:ilvl="0">
      <w:start w:val="3"/>
      <w:numFmt w:val="bullet"/>
      <w:lvlText w:val=""/>
      <w:lvlJc w:val="left"/>
      <w:pPr>
        <w:tabs>
          <w:tab w:val="num" w:pos="900"/>
        </w:tabs>
        <w:ind w:left="90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820309"/>
    <w:multiLevelType w:val="hybridMultilevel"/>
    <w:tmpl w:val="3708A1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7B0BB7"/>
    <w:multiLevelType w:val="multilevel"/>
    <w:tmpl w:val="3C20EC4C"/>
    <w:lvl w:ilvl="0">
      <w:start w:val="3"/>
      <w:numFmt w:val="bullet"/>
      <w:lvlText w:val=""/>
      <w:lvlJc w:val="left"/>
      <w:pPr>
        <w:tabs>
          <w:tab w:val="num" w:pos="900"/>
        </w:tabs>
        <w:ind w:left="90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B457BCE"/>
    <w:multiLevelType w:val="hybridMultilevel"/>
    <w:tmpl w:val="7DC0962A"/>
    <w:lvl w:ilvl="0" w:tplc="C1B6111A">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88746F"/>
    <w:multiLevelType w:val="hybridMultilevel"/>
    <w:tmpl w:val="42D66524"/>
    <w:lvl w:ilvl="0" w:tplc="F1723184">
      <w:start w:val="3"/>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9"/>
  </w:num>
  <w:num w:numId="4">
    <w:abstractNumId w:val="4"/>
  </w:num>
  <w:num w:numId="5">
    <w:abstractNumId w:val="3"/>
  </w:num>
  <w:num w:numId="6">
    <w:abstractNumId w:val="5"/>
  </w:num>
  <w:num w:numId="7">
    <w:abstractNumId w:val="0"/>
  </w:num>
  <w:num w:numId="8">
    <w:abstractNumId w:val="7"/>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3F01"/>
  <w:defaultTabStop w:val="720"/>
  <w:characterSpacingControl w:val="doNotCompress"/>
  <w:hdrShapeDefaults>
    <o:shapedefaults v:ext="edit" spidmax="35843"/>
    <o:shapelayout v:ext="edit">
      <o:idmap v:ext="edit" data="35"/>
    </o:shapelayout>
  </w:hdrShapeDefaults>
  <w:footnotePr>
    <w:footnote w:id="-1"/>
    <w:footnote w:id="0"/>
  </w:footnotePr>
  <w:endnotePr>
    <w:endnote w:id="-1"/>
    <w:endnote w:id="0"/>
  </w:endnotePr>
  <w:compat/>
  <w:rsids>
    <w:rsidRoot w:val="000525A5"/>
    <w:rsid w:val="00010054"/>
    <w:rsid w:val="00011B2A"/>
    <w:rsid w:val="00013152"/>
    <w:rsid w:val="000339B8"/>
    <w:rsid w:val="00041009"/>
    <w:rsid w:val="00044F55"/>
    <w:rsid w:val="000503CF"/>
    <w:rsid w:val="000525A5"/>
    <w:rsid w:val="000615F1"/>
    <w:rsid w:val="000701D3"/>
    <w:rsid w:val="0008516B"/>
    <w:rsid w:val="0009365B"/>
    <w:rsid w:val="000A1A68"/>
    <w:rsid w:val="000A76C3"/>
    <w:rsid w:val="000C78D9"/>
    <w:rsid w:val="000D6751"/>
    <w:rsid w:val="000E1A1C"/>
    <w:rsid w:val="000E2749"/>
    <w:rsid w:val="000E2A31"/>
    <w:rsid w:val="000E4C29"/>
    <w:rsid w:val="00101CCA"/>
    <w:rsid w:val="0010282A"/>
    <w:rsid w:val="001039AA"/>
    <w:rsid w:val="0012280F"/>
    <w:rsid w:val="00133EC1"/>
    <w:rsid w:val="001342BD"/>
    <w:rsid w:val="001354B1"/>
    <w:rsid w:val="00141C3C"/>
    <w:rsid w:val="001426D2"/>
    <w:rsid w:val="00145198"/>
    <w:rsid w:val="00146CE9"/>
    <w:rsid w:val="0015227E"/>
    <w:rsid w:val="00164155"/>
    <w:rsid w:val="00181B8D"/>
    <w:rsid w:val="00193C13"/>
    <w:rsid w:val="001C37E6"/>
    <w:rsid w:val="001C4FB2"/>
    <w:rsid w:val="001C66D2"/>
    <w:rsid w:val="001D2216"/>
    <w:rsid w:val="001E74E0"/>
    <w:rsid w:val="001E7BCC"/>
    <w:rsid w:val="001F51F1"/>
    <w:rsid w:val="00204BAD"/>
    <w:rsid w:val="00225470"/>
    <w:rsid w:val="0022739E"/>
    <w:rsid w:val="00230ACA"/>
    <w:rsid w:val="00230CD7"/>
    <w:rsid w:val="00232375"/>
    <w:rsid w:val="002354E8"/>
    <w:rsid w:val="00253791"/>
    <w:rsid w:val="00257007"/>
    <w:rsid w:val="002707F2"/>
    <w:rsid w:val="00280F89"/>
    <w:rsid w:val="00282F22"/>
    <w:rsid w:val="00290FA6"/>
    <w:rsid w:val="002A237D"/>
    <w:rsid w:val="002A3179"/>
    <w:rsid w:val="002B6559"/>
    <w:rsid w:val="002C3956"/>
    <w:rsid w:val="002D67CB"/>
    <w:rsid w:val="002E03B7"/>
    <w:rsid w:val="002E42F9"/>
    <w:rsid w:val="00305FD3"/>
    <w:rsid w:val="003204A5"/>
    <w:rsid w:val="00322DA2"/>
    <w:rsid w:val="00330657"/>
    <w:rsid w:val="00332960"/>
    <w:rsid w:val="00335EF1"/>
    <w:rsid w:val="00347AD0"/>
    <w:rsid w:val="003542B9"/>
    <w:rsid w:val="00364343"/>
    <w:rsid w:val="0036539B"/>
    <w:rsid w:val="00367759"/>
    <w:rsid w:val="00383711"/>
    <w:rsid w:val="003906C3"/>
    <w:rsid w:val="003914DA"/>
    <w:rsid w:val="00392B53"/>
    <w:rsid w:val="003A2063"/>
    <w:rsid w:val="003B5FA5"/>
    <w:rsid w:val="003D1D7B"/>
    <w:rsid w:val="003F613C"/>
    <w:rsid w:val="00400B15"/>
    <w:rsid w:val="004010AE"/>
    <w:rsid w:val="00402270"/>
    <w:rsid w:val="00411859"/>
    <w:rsid w:val="00434173"/>
    <w:rsid w:val="00453644"/>
    <w:rsid w:val="004915B4"/>
    <w:rsid w:val="00494268"/>
    <w:rsid w:val="004A2470"/>
    <w:rsid w:val="004A7F89"/>
    <w:rsid w:val="004B066F"/>
    <w:rsid w:val="004B4C58"/>
    <w:rsid w:val="004B7E8E"/>
    <w:rsid w:val="004C6114"/>
    <w:rsid w:val="004D224B"/>
    <w:rsid w:val="004D46EA"/>
    <w:rsid w:val="004F0D73"/>
    <w:rsid w:val="004F10D1"/>
    <w:rsid w:val="004F491A"/>
    <w:rsid w:val="00515D7B"/>
    <w:rsid w:val="00517E88"/>
    <w:rsid w:val="00521774"/>
    <w:rsid w:val="00527818"/>
    <w:rsid w:val="00534237"/>
    <w:rsid w:val="005450E0"/>
    <w:rsid w:val="005470D3"/>
    <w:rsid w:val="00556DCF"/>
    <w:rsid w:val="00566909"/>
    <w:rsid w:val="00567BA6"/>
    <w:rsid w:val="00575C7D"/>
    <w:rsid w:val="0057758E"/>
    <w:rsid w:val="00580CEB"/>
    <w:rsid w:val="005A34B4"/>
    <w:rsid w:val="005B0C4A"/>
    <w:rsid w:val="005B3BD3"/>
    <w:rsid w:val="00602EA8"/>
    <w:rsid w:val="00615C58"/>
    <w:rsid w:val="00643F7A"/>
    <w:rsid w:val="006567A1"/>
    <w:rsid w:val="00660C6D"/>
    <w:rsid w:val="00672241"/>
    <w:rsid w:val="00683E57"/>
    <w:rsid w:val="00685335"/>
    <w:rsid w:val="0069136E"/>
    <w:rsid w:val="00697C48"/>
    <w:rsid w:val="006C6B83"/>
    <w:rsid w:val="006D4665"/>
    <w:rsid w:val="006D52D2"/>
    <w:rsid w:val="006F2AB3"/>
    <w:rsid w:val="006F452B"/>
    <w:rsid w:val="00705FCB"/>
    <w:rsid w:val="00706F1D"/>
    <w:rsid w:val="007115DC"/>
    <w:rsid w:val="00721B43"/>
    <w:rsid w:val="007309A7"/>
    <w:rsid w:val="00736589"/>
    <w:rsid w:val="00740DE6"/>
    <w:rsid w:val="00742B4C"/>
    <w:rsid w:val="00743005"/>
    <w:rsid w:val="00745276"/>
    <w:rsid w:val="00746694"/>
    <w:rsid w:val="007561EE"/>
    <w:rsid w:val="007572F8"/>
    <w:rsid w:val="00766A60"/>
    <w:rsid w:val="00772150"/>
    <w:rsid w:val="007736EC"/>
    <w:rsid w:val="00792C4F"/>
    <w:rsid w:val="007A211E"/>
    <w:rsid w:val="007B2B81"/>
    <w:rsid w:val="007C04FB"/>
    <w:rsid w:val="007C22CC"/>
    <w:rsid w:val="007D21E0"/>
    <w:rsid w:val="007D361D"/>
    <w:rsid w:val="007D52C1"/>
    <w:rsid w:val="007E3760"/>
    <w:rsid w:val="007F0CE0"/>
    <w:rsid w:val="00803A26"/>
    <w:rsid w:val="00806490"/>
    <w:rsid w:val="00814C2F"/>
    <w:rsid w:val="00825CC4"/>
    <w:rsid w:val="0083267D"/>
    <w:rsid w:val="00845D19"/>
    <w:rsid w:val="0085049D"/>
    <w:rsid w:val="00854A5F"/>
    <w:rsid w:val="00856CEF"/>
    <w:rsid w:val="00882B9B"/>
    <w:rsid w:val="0088384C"/>
    <w:rsid w:val="00894D24"/>
    <w:rsid w:val="008A1F40"/>
    <w:rsid w:val="008A59DC"/>
    <w:rsid w:val="008C531D"/>
    <w:rsid w:val="008E0B7D"/>
    <w:rsid w:val="008E25F5"/>
    <w:rsid w:val="008F57C4"/>
    <w:rsid w:val="008F5A31"/>
    <w:rsid w:val="009033FD"/>
    <w:rsid w:val="00906786"/>
    <w:rsid w:val="00906A2F"/>
    <w:rsid w:val="009115EB"/>
    <w:rsid w:val="00914031"/>
    <w:rsid w:val="0091440A"/>
    <w:rsid w:val="00915477"/>
    <w:rsid w:val="00937C4B"/>
    <w:rsid w:val="00941340"/>
    <w:rsid w:val="00947076"/>
    <w:rsid w:val="009500C8"/>
    <w:rsid w:val="009538C9"/>
    <w:rsid w:val="00960BB7"/>
    <w:rsid w:val="00964160"/>
    <w:rsid w:val="00971909"/>
    <w:rsid w:val="00974335"/>
    <w:rsid w:val="00980B84"/>
    <w:rsid w:val="009915BC"/>
    <w:rsid w:val="0099380E"/>
    <w:rsid w:val="0099450E"/>
    <w:rsid w:val="00996C5C"/>
    <w:rsid w:val="009A74B7"/>
    <w:rsid w:val="009B4EEA"/>
    <w:rsid w:val="009B7F59"/>
    <w:rsid w:val="009D3BF4"/>
    <w:rsid w:val="009D50D4"/>
    <w:rsid w:val="009D743B"/>
    <w:rsid w:val="009E093B"/>
    <w:rsid w:val="009E2360"/>
    <w:rsid w:val="009E4FC3"/>
    <w:rsid w:val="009E5F52"/>
    <w:rsid w:val="009F2D76"/>
    <w:rsid w:val="009F7978"/>
    <w:rsid w:val="00A072DE"/>
    <w:rsid w:val="00A2195D"/>
    <w:rsid w:val="00A25FBD"/>
    <w:rsid w:val="00A334E9"/>
    <w:rsid w:val="00A35FC8"/>
    <w:rsid w:val="00A417BD"/>
    <w:rsid w:val="00A54F2B"/>
    <w:rsid w:val="00A54FE3"/>
    <w:rsid w:val="00A572F2"/>
    <w:rsid w:val="00A607D0"/>
    <w:rsid w:val="00A70F20"/>
    <w:rsid w:val="00A726F1"/>
    <w:rsid w:val="00A75985"/>
    <w:rsid w:val="00A76C54"/>
    <w:rsid w:val="00A914F2"/>
    <w:rsid w:val="00A944C9"/>
    <w:rsid w:val="00AA0CF2"/>
    <w:rsid w:val="00AA5E1F"/>
    <w:rsid w:val="00AB006A"/>
    <w:rsid w:val="00AC1100"/>
    <w:rsid w:val="00AC5D91"/>
    <w:rsid w:val="00AC71AF"/>
    <w:rsid w:val="00AD20F7"/>
    <w:rsid w:val="00AD67A0"/>
    <w:rsid w:val="00AF51A2"/>
    <w:rsid w:val="00AF66D1"/>
    <w:rsid w:val="00B0140B"/>
    <w:rsid w:val="00B127BF"/>
    <w:rsid w:val="00B13F50"/>
    <w:rsid w:val="00B226DA"/>
    <w:rsid w:val="00B33695"/>
    <w:rsid w:val="00B35E12"/>
    <w:rsid w:val="00B51413"/>
    <w:rsid w:val="00B6568D"/>
    <w:rsid w:val="00B7171F"/>
    <w:rsid w:val="00B756CB"/>
    <w:rsid w:val="00B814F5"/>
    <w:rsid w:val="00B8777C"/>
    <w:rsid w:val="00B94239"/>
    <w:rsid w:val="00B94A7B"/>
    <w:rsid w:val="00B96322"/>
    <w:rsid w:val="00B96395"/>
    <w:rsid w:val="00BA181C"/>
    <w:rsid w:val="00BA7818"/>
    <w:rsid w:val="00BB1C9B"/>
    <w:rsid w:val="00BB43E5"/>
    <w:rsid w:val="00BC0A38"/>
    <w:rsid w:val="00BD7553"/>
    <w:rsid w:val="00BE197C"/>
    <w:rsid w:val="00C100E1"/>
    <w:rsid w:val="00C16C0F"/>
    <w:rsid w:val="00C266AC"/>
    <w:rsid w:val="00C34F85"/>
    <w:rsid w:val="00C43F89"/>
    <w:rsid w:val="00C44369"/>
    <w:rsid w:val="00C50D44"/>
    <w:rsid w:val="00C7035A"/>
    <w:rsid w:val="00C7371C"/>
    <w:rsid w:val="00C802BF"/>
    <w:rsid w:val="00C83074"/>
    <w:rsid w:val="00C830E2"/>
    <w:rsid w:val="00C90D05"/>
    <w:rsid w:val="00CA655C"/>
    <w:rsid w:val="00CA7728"/>
    <w:rsid w:val="00CB4A11"/>
    <w:rsid w:val="00CC1895"/>
    <w:rsid w:val="00CC2D0F"/>
    <w:rsid w:val="00CC6CE0"/>
    <w:rsid w:val="00CC71B1"/>
    <w:rsid w:val="00CD47EA"/>
    <w:rsid w:val="00CD6AFB"/>
    <w:rsid w:val="00CE16BE"/>
    <w:rsid w:val="00CE36DD"/>
    <w:rsid w:val="00CE5134"/>
    <w:rsid w:val="00CE562F"/>
    <w:rsid w:val="00CF72EF"/>
    <w:rsid w:val="00D0646C"/>
    <w:rsid w:val="00D20D01"/>
    <w:rsid w:val="00D275DA"/>
    <w:rsid w:val="00D301DD"/>
    <w:rsid w:val="00D33E7C"/>
    <w:rsid w:val="00D35ADB"/>
    <w:rsid w:val="00D552F4"/>
    <w:rsid w:val="00D615DB"/>
    <w:rsid w:val="00D753DC"/>
    <w:rsid w:val="00D80033"/>
    <w:rsid w:val="00D84CA7"/>
    <w:rsid w:val="00D92742"/>
    <w:rsid w:val="00D93274"/>
    <w:rsid w:val="00D93509"/>
    <w:rsid w:val="00DA37F7"/>
    <w:rsid w:val="00DA4691"/>
    <w:rsid w:val="00DA6EFE"/>
    <w:rsid w:val="00DB350C"/>
    <w:rsid w:val="00DC04AA"/>
    <w:rsid w:val="00DD2143"/>
    <w:rsid w:val="00DE0789"/>
    <w:rsid w:val="00DF2F5E"/>
    <w:rsid w:val="00DF52A4"/>
    <w:rsid w:val="00E03D64"/>
    <w:rsid w:val="00E242F0"/>
    <w:rsid w:val="00E3751D"/>
    <w:rsid w:val="00E41BBE"/>
    <w:rsid w:val="00E44FFD"/>
    <w:rsid w:val="00E50B29"/>
    <w:rsid w:val="00E841CA"/>
    <w:rsid w:val="00EA14F1"/>
    <w:rsid w:val="00EA5271"/>
    <w:rsid w:val="00EA5316"/>
    <w:rsid w:val="00EB4815"/>
    <w:rsid w:val="00EC6EBD"/>
    <w:rsid w:val="00ED0BA4"/>
    <w:rsid w:val="00EE231A"/>
    <w:rsid w:val="00F032E6"/>
    <w:rsid w:val="00F03F68"/>
    <w:rsid w:val="00F04640"/>
    <w:rsid w:val="00F06CD3"/>
    <w:rsid w:val="00F10A19"/>
    <w:rsid w:val="00F14A4C"/>
    <w:rsid w:val="00F17328"/>
    <w:rsid w:val="00F176BA"/>
    <w:rsid w:val="00F30AAE"/>
    <w:rsid w:val="00F30E5C"/>
    <w:rsid w:val="00F317FF"/>
    <w:rsid w:val="00F5510E"/>
    <w:rsid w:val="00F66E96"/>
    <w:rsid w:val="00F934B2"/>
    <w:rsid w:val="00F95720"/>
    <w:rsid w:val="00FA0353"/>
    <w:rsid w:val="00FA5A97"/>
    <w:rsid w:val="00FA7C1F"/>
    <w:rsid w:val="00FA7CDF"/>
    <w:rsid w:val="00FC0DAB"/>
    <w:rsid w:val="00FC33A0"/>
    <w:rsid w:val="00FC4A76"/>
    <w:rsid w:val="00FC7D57"/>
    <w:rsid w:val="00FD0C60"/>
    <w:rsid w:val="00FE6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5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4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F2F5E"/>
    <w:rPr>
      <w:rFonts w:ascii="Tahoma" w:hAnsi="Tahoma" w:cs="Tahoma"/>
      <w:sz w:val="16"/>
      <w:szCs w:val="16"/>
    </w:rPr>
  </w:style>
  <w:style w:type="paragraph" w:styleId="Header">
    <w:name w:val="header"/>
    <w:basedOn w:val="Normal"/>
    <w:link w:val="HeaderChar"/>
    <w:uiPriority w:val="99"/>
    <w:rsid w:val="001C66D2"/>
    <w:pPr>
      <w:tabs>
        <w:tab w:val="center" w:pos="4320"/>
        <w:tab w:val="right" w:pos="8640"/>
      </w:tabs>
    </w:pPr>
  </w:style>
  <w:style w:type="paragraph" w:styleId="Footer">
    <w:name w:val="footer"/>
    <w:basedOn w:val="Normal"/>
    <w:link w:val="FooterChar"/>
    <w:uiPriority w:val="99"/>
    <w:rsid w:val="001C66D2"/>
    <w:pPr>
      <w:tabs>
        <w:tab w:val="center" w:pos="4320"/>
        <w:tab w:val="right" w:pos="8640"/>
      </w:tabs>
    </w:pPr>
  </w:style>
  <w:style w:type="character" w:styleId="PageNumber">
    <w:name w:val="page number"/>
    <w:basedOn w:val="DefaultParagraphFont"/>
    <w:rsid w:val="00C266AC"/>
  </w:style>
  <w:style w:type="character" w:styleId="Hyperlink">
    <w:name w:val="Hyperlink"/>
    <w:basedOn w:val="DefaultParagraphFont"/>
    <w:rsid w:val="0088384C"/>
    <w:rPr>
      <w:color w:val="0000FF"/>
      <w:u w:val="single"/>
    </w:rPr>
  </w:style>
  <w:style w:type="paragraph" w:styleId="ListParagraph">
    <w:name w:val="List Paragraph"/>
    <w:basedOn w:val="Normal"/>
    <w:uiPriority w:val="34"/>
    <w:qFormat/>
    <w:rsid w:val="001D2216"/>
    <w:pPr>
      <w:ind w:left="720"/>
      <w:contextualSpacing/>
    </w:pPr>
  </w:style>
  <w:style w:type="character" w:customStyle="1" w:styleId="FooterChar">
    <w:name w:val="Footer Char"/>
    <w:basedOn w:val="DefaultParagraphFont"/>
    <w:link w:val="Footer"/>
    <w:uiPriority w:val="99"/>
    <w:rsid w:val="009F7978"/>
    <w:rPr>
      <w:sz w:val="24"/>
      <w:szCs w:val="24"/>
    </w:rPr>
  </w:style>
  <w:style w:type="character" w:customStyle="1" w:styleId="HeaderChar">
    <w:name w:val="Header Char"/>
    <w:basedOn w:val="DefaultParagraphFont"/>
    <w:link w:val="Header"/>
    <w:uiPriority w:val="99"/>
    <w:rsid w:val="003677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ogle.com/imgres?imgurl=http://www.smokingpipeshop.com/images/1304642009796-141531194.jpeg&amp;imgrefurl=http://www.smokingpipeshop.com/Medical-Marijuana-Sign-S102.htm&amp;usg=__izcAfPvREpqPutkckCu6_fsdaFg=&amp;h=247&amp;w=330&amp;sz=140&amp;hl=en&amp;start=47&amp;zoom=1&amp;tbnid=baAo9jOltubBFM:&amp;tbnh=89&amp;tbnw=119&amp;ei=27p8Tu6NKKaNsQKT1tQ8&amp;prev=/images?q=image+medical+marijuana+sign&amp;start=42&amp;hl=en&amp;sa=N&amp;tbm=isch&amp;itbs=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990D-5EB5-468D-AD74-A6EA23CE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737</Words>
  <Characters>4264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TOBACCO CONTROL AND PREVENTION PROGRAM</vt:lpstr>
    </vt:vector>
  </TitlesOfParts>
  <Company>LAC - DHS - PH</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AND PREVENTION PROGRAM</dc:title>
  <dc:subject/>
  <dc:creator>chrreyes</dc:creator>
  <cp:keywords/>
  <dc:description/>
  <cp:lastModifiedBy>Michelle Gibson</cp:lastModifiedBy>
  <cp:revision>4</cp:revision>
  <cp:lastPrinted>2012-02-16T23:31:00Z</cp:lastPrinted>
  <dcterms:created xsi:type="dcterms:W3CDTF">2012-02-17T00:24:00Z</dcterms:created>
  <dcterms:modified xsi:type="dcterms:W3CDTF">2012-07-31T15:16:00Z</dcterms:modified>
</cp:coreProperties>
</file>