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A2E" w:rsidRPr="00597071" w:rsidRDefault="00AF6A2E" w:rsidP="00D1367E">
      <w:pPr>
        <w:jc w:val="both"/>
        <w:rPr>
          <w:rFonts w:ascii="Gill Sans MT" w:hAnsi="Gill Sans MT"/>
          <w:b/>
        </w:rPr>
      </w:pPr>
      <w:r w:rsidRPr="00597071">
        <w:rPr>
          <w:rFonts w:ascii="Gill Sans MT" w:hAnsi="Gill Sans MT"/>
          <w:b/>
        </w:rPr>
        <w:t>DESCRIPTION</w:t>
      </w:r>
    </w:p>
    <w:p w:rsidR="00AF6A2E" w:rsidRDefault="00AF6A2E" w:rsidP="00D1367E">
      <w:pPr>
        <w:jc w:val="both"/>
        <w:rPr>
          <w:rFonts w:ascii="Gill Sans MT" w:hAnsi="Gill Sans MT"/>
        </w:rPr>
      </w:pPr>
      <w:r w:rsidRPr="00AF6A2E">
        <w:rPr>
          <w:rFonts w:ascii="Gill Sans MT" w:hAnsi="Gill Sans MT"/>
        </w:rPr>
        <w:t>Naltrexone is an opioid antagonist that binds to the opioid receptors, blocking the euphoric effects of exogenous opioids</w:t>
      </w:r>
      <w:r>
        <w:rPr>
          <w:rFonts w:ascii="Gill Sans MT" w:hAnsi="Gill Sans MT"/>
        </w:rPr>
        <w:t xml:space="preserve"> </w:t>
      </w:r>
      <w:r w:rsidRPr="00AF6A2E">
        <w:rPr>
          <w:rFonts w:ascii="Gill Sans MT" w:hAnsi="Gill Sans MT"/>
        </w:rPr>
        <w:t>in those who are opioid dependent. This document addresses the extended-release injectable (intramuscular), long</w:t>
      </w:r>
      <w:r>
        <w:rPr>
          <w:rFonts w:ascii="Gill Sans MT" w:hAnsi="Gill Sans MT"/>
        </w:rPr>
        <w:t xml:space="preserve"> </w:t>
      </w:r>
      <w:r w:rsidRPr="00AF6A2E">
        <w:rPr>
          <w:rFonts w:ascii="Gill Sans MT" w:hAnsi="Gill Sans MT"/>
        </w:rPr>
        <w:t>acting</w:t>
      </w:r>
      <w:r>
        <w:rPr>
          <w:rFonts w:ascii="Gill Sans MT" w:hAnsi="Gill Sans MT"/>
        </w:rPr>
        <w:t xml:space="preserve"> </w:t>
      </w:r>
      <w:r w:rsidRPr="00AF6A2E">
        <w:rPr>
          <w:rFonts w:ascii="Gill Sans MT" w:hAnsi="Gill Sans MT"/>
        </w:rPr>
        <w:t>form of naltrexone (Vivitrol, Alkermes, Inc., Cambridge, MA).</w:t>
      </w:r>
      <w:r w:rsidR="00726874" w:rsidRPr="00726874">
        <w:t xml:space="preserve"> </w:t>
      </w:r>
      <w:r w:rsidR="00726874">
        <w:t xml:space="preserve"> </w:t>
      </w:r>
      <w:r w:rsidR="00726874" w:rsidRPr="00726874">
        <w:rPr>
          <w:rFonts w:ascii="Gill Sans MT" w:hAnsi="Gill Sans MT"/>
        </w:rPr>
        <w:t>Active ingredient: naltrexone</w:t>
      </w:r>
      <w:r w:rsidR="00726874">
        <w:rPr>
          <w:rFonts w:ascii="Gill Sans MT" w:hAnsi="Gill Sans MT"/>
        </w:rPr>
        <w:t>.</w:t>
      </w:r>
      <w:r w:rsidR="00726874" w:rsidRPr="00726874">
        <w:rPr>
          <w:rFonts w:ascii="Gill Sans MT" w:hAnsi="Gill Sans MT"/>
        </w:rPr>
        <w:t xml:space="preserve"> Inactive ingredients: polylactide-co-glycolide (PLG) Diluent ingredients: carboxymethylcellulose sodium salt, polysorbate 20, sodium</w:t>
      </w:r>
      <w:r w:rsidR="00726874">
        <w:rPr>
          <w:rFonts w:ascii="Gill Sans MT" w:hAnsi="Gill Sans MT"/>
        </w:rPr>
        <w:t xml:space="preserve"> </w:t>
      </w:r>
      <w:r w:rsidR="00726874" w:rsidRPr="00726874">
        <w:rPr>
          <w:rFonts w:ascii="Gill Sans MT" w:hAnsi="Gill Sans MT"/>
        </w:rPr>
        <w:t>chloride, and water for injection</w:t>
      </w:r>
      <w:r w:rsidR="00726874">
        <w:rPr>
          <w:rFonts w:ascii="Gill Sans MT" w:hAnsi="Gill Sans MT"/>
        </w:rPr>
        <w:t>.</w:t>
      </w:r>
    </w:p>
    <w:p w:rsidR="005A6293" w:rsidRPr="005A6293" w:rsidRDefault="005A6293" w:rsidP="00D1367E">
      <w:pPr>
        <w:jc w:val="both"/>
        <w:rPr>
          <w:rFonts w:ascii="Gill Sans MT" w:hAnsi="Gill Sans MT"/>
          <w:b/>
        </w:rPr>
      </w:pPr>
      <w:r w:rsidRPr="005A6293">
        <w:rPr>
          <w:rFonts w:ascii="Gill Sans MT" w:hAnsi="Gill Sans MT"/>
          <w:b/>
        </w:rPr>
        <w:t>BACKGROUND</w:t>
      </w:r>
    </w:p>
    <w:p w:rsidR="001849BF" w:rsidRDefault="00AE3A11" w:rsidP="00D1367E">
      <w:pPr>
        <w:jc w:val="both"/>
        <w:rPr>
          <w:rFonts w:ascii="Gill Sans MT" w:hAnsi="Gill Sans MT"/>
        </w:rPr>
      </w:pPr>
      <w:r w:rsidRPr="00AE3A11">
        <w:rPr>
          <w:rFonts w:ascii="Gill Sans MT" w:hAnsi="Gill Sans MT"/>
        </w:rPr>
        <w:t xml:space="preserve">Medications should be prescribed as part of a comprehensive treatment approach that includes counseling and other </w:t>
      </w:r>
      <w:r w:rsidR="00417767">
        <w:rPr>
          <w:rFonts w:ascii="Gill Sans MT" w:hAnsi="Gill Sans MT"/>
        </w:rPr>
        <w:t xml:space="preserve">behavioral health </w:t>
      </w:r>
      <w:r w:rsidRPr="00AE3A11">
        <w:rPr>
          <w:rFonts w:ascii="Gill Sans MT" w:hAnsi="Gill Sans MT"/>
        </w:rPr>
        <w:t xml:space="preserve">therapies (through </w:t>
      </w:r>
      <w:r w:rsidR="00417767">
        <w:rPr>
          <w:rFonts w:ascii="Gill Sans MT" w:hAnsi="Gill Sans MT"/>
        </w:rPr>
        <w:t xml:space="preserve">existing treatment or </w:t>
      </w:r>
      <w:r w:rsidRPr="00AE3A11">
        <w:rPr>
          <w:rFonts w:ascii="Gill Sans MT" w:hAnsi="Gill Sans MT"/>
        </w:rPr>
        <w:t>referral to</w:t>
      </w:r>
      <w:r w:rsidR="00417767">
        <w:rPr>
          <w:rFonts w:ascii="Gill Sans MT" w:hAnsi="Gill Sans MT"/>
        </w:rPr>
        <w:t xml:space="preserve"> outpatient, intensive outpatient or residential treatment for substance use disorders and potentially co-occurring treatment with</w:t>
      </w:r>
      <w:r w:rsidRPr="00AE3A11">
        <w:rPr>
          <w:rFonts w:ascii="Gill Sans MT" w:hAnsi="Gill Sans MT"/>
        </w:rPr>
        <w:t xml:space="preserve"> a psychiatrist, psychologist, or professional counselor) and</w:t>
      </w:r>
      <w:r w:rsidR="00417767">
        <w:rPr>
          <w:rFonts w:ascii="Gill Sans MT" w:hAnsi="Gill Sans MT"/>
        </w:rPr>
        <w:t>/or</w:t>
      </w:r>
      <w:r w:rsidRPr="00AE3A11">
        <w:rPr>
          <w:rFonts w:ascii="Gill Sans MT" w:hAnsi="Gill Sans MT"/>
        </w:rPr>
        <w:t xml:space="preserve"> social supports (through participation in Alcoholics Anonymous and other mutual-help programs).</w:t>
      </w:r>
      <w:r>
        <w:rPr>
          <w:rFonts w:ascii="Gill Sans MT" w:hAnsi="Gill Sans MT"/>
        </w:rPr>
        <w:t xml:space="preserve"> </w:t>
      </w:r>
      <w:r w:rsidR="00E431BF">
        <w:rPr>
          <w:rFonts w:ascii="Gill Sans MT" w:hAnsi="Gill Sans MT"/>
        </w:rPr>
        <w:t xml:space="preserve">Medication-Assisted Treatment (MAT) is the use of pharmacological interventions in combination with counseling and behavioral therapies to provide a client-centered and whole-person approach to </w:t>
      </w:r>
      <w:r w:rsidR="00A46228">
        <w:rPr>
          <w:rFonts w:ascii="Gill Sans MT" w:hAnsi="Gill Sans MT"/>
        </w:rPr>
        <w:t>substance used disorder (</w:t>
      </w:r>
      <w:r w:rsidR="00E431BF">
        <w:rPr>
          <w:rFonts w:ascii="Gill Sans MT" w:hAnsi="Gill Sans MT"/>
        </w:rPr>
        <w:t>SUD</w:t>
      </w:r>
      <w:r w:rsidR="00A46228">
        <w:rPr>
          <w:rFonts w:ascii="Gill Sans MT" w:hAnsi="Gill Sans MT"/>
        </w:rPr>
        <w:t>)</w:t>
      </w:r>
      <w:r w:rsidR="00E431BF">
        <w:rPr>
          <w:rFonts w:ascii="Gill Sans MT" w:hAnsi="Gill Sans MT"/>
        </w:rPr>
        <w:t xml:space="preserve"> treatment. It is the best practice for the treatment of most chronic conditions that require both pharmacologic and lifestyle behavioral interventions (e.g., diabetes, addiction). </w:t>
      </w:r>
      <w:r w:rsidR="00A46228" w:rsidRPr="00A46228">
        <w:rPr>
          <w:rFonts w:ascii="Gill Sans MT" w:hAnsi="Gill Sans MT"/>
        </w:rPr>
        <w:t xml:space="preserve">Certain people find it difficult to comply with daily dosing regimens and have been known to miss days of dosing which could result in relapse. </w:t>
      </w:r>
    </w:p>
    <w:p w:rsidR="00011538" w:rsidRDefault="00FA70DF" w:rsidP="00D1367E">
      <w:pPr>
        <w:jc w:val="both"/>
        <w:rPr>
          <w:rFonts w:ascii="Gill Sans MT" w:hAnsi="Gill Sans MT"/>
        </w:rPr>
      </w:pPr>
      <w:r w:rsidRPr="00FA70DF">
        <w:rPr>
          <w:rFonts w:ascii="Gill Sans MT" w:hAnsi="Gill Sans MT"/>
        </w:rPr>
        <w:t>Vivitrol is an extended release formulation of naltrexone, which has been found to be effective in the treatment of alcohol and opioid dependence and is most effective when used in combination with medication and behavioral therapies</w:t>
      </w:r>
      <w:r>
        <w:rPr>
          <w:rFonts w:ascii="Gill Sans MT" w:hAnsi="Gill Sans MT"/>
        </w:rPr>
        <w:t xml:space="preserve">. </w:t>
      </w:r>
      <w:r w:rsidRPr="00FA70DF">
        <w:rPr>
          <w:rFonts w:ascii="Gill Sans MT" w:hAnsi="Gill Sans MT"/>
        </w:rPr>
        <w:t xml:space="preserve">Extended-release injectable naltrexone is </w:t>
      </w:r>
      <w:r>
        <w:rPr>
          <w:rFonts w:ascii="Gill Sans MT" w:hAnsi="Gill Sans MT"/>
        </w:rPr>
        <w:t>approved for use only in persons</w:t>
      </w:r>
      <w:r w:rsidRPr="00FA70DF">
        <w:rPr>
          <w:rFonts w:ascii="Gill Sans MT" w:hAnsi="Gill Sans MT"/>
        </w:rPr>
        <w:t xml:space="preserve"> who can refrain from drinking</w:t>
      </w:r>
      <w:r w:rsidR="00807632">
        <w:rPr>
          <w:rFonts w:ascii="Gill Sans MT" w:hAnsi="Gill Sans MT"/>
        </w:rPr>
        <w:t xml:space="preserve"> or opioid use</w:t>
      </w:r>
      <w:r w:rsidRPr="00FA70DF">
        <w:rPr>
          <w:rFonts w:ascii="Gill Sans MT" w:hAnsi="Gill Sans MT"/>
        </w:rPr>
        <w:t xml:space="preserve"> for several days before treatment begins—a subgroup of the patient population in whom efficacy has been demonstrated.</w:t>
      </w:r>
      <w:r w:rsidR="00A46228">
        <w:rPr>
          <w:rFonts w:ascii="Gill Sans MT" w:hAnsi="Gill Sans MT"/>
        </w:rPr>
        <w:t xml:space="preserve"> Behavioral </w:t>
      </w:r>
      <w:r w:rsidR="00E431BF">
        <w:rPr>
          <w:rFonts w:ascii="Gill Sans MT" w:hAnsi="Gill Sans MT"/>
        </w:rPr>
        <w:t>treatment emphasizes</w:t>
      </w:r>
      <w:r w:rsidR="00011538" w:rsidRPr="00011538">
        <w:rPr>
          <w:rFonts w:ascii="Gill Sans MT" w:hAnsi="Gill Sans MT"/>
        </w:rPr>
        <w:t xml:space="preserve"> support of</w:t>
      </w:r>
      <w:r w:rsidR="00011538">
        <w:rPr>
          <w:rFonts w:ascii="Gill Sans MT" w:hAnsi="Gill Sans MT"/>
        </w:rPr>
        <w:t xml:space="preserve"> </w:t>
      </w:r>
      <w:r w:rsidR="00011538" w:rsidRPr="00011538">
        <w:rPr>
          <w:rFonts w:ascii="Gill Sans MT" w:hAnsi="Gill Sans MT"/>
        </w:rPr>
        <w:t>abstinence, including participation in group</w:t>
      </w:r>
      <w:r w:rsidR="00011538">
        <w:rPr>
          <w:rFonts w:ascii="Gill Sans MT" w:hAnsi="Gill Sans MT"/>
        </w:rPr>
        <w:t xml:space="preserve"> therapy stressing motivational </w:t>
      </w:r>
      <w:r w:rsidR="00011538" w:rsidRPr="00011538">
        <w:rPr>
          <w:rFonts w:ascii="Gill Sans MT" w:hAnsi="Gill Sans MT"/>
        </w:rPr>
        <w:t xml:space="preserve">enhancement, </w:t>
      </w:r>
      <w:r w:rsidR="00A46228">
        <w:rPr>
          <w:rFonts w:ascii="Gill Sans MT" w:hAnsi="Gill Sans MT"/>
        </w:rPr>
        <w:t xml:space="preserve">trauma-informed treatment, </w:t>
      </w:r>
      <w:r w:rsidR="00011538" w:rsidRPr="00011538">
        <w:rPr>
          <w:rFonts w:ascii="Gill Sans MT" w:hAnsi="Gill Sans MT"/>
        </w:rPr>
        <w:t>relapse prevention skills, and compliance</w:t>
      </w:r>
      <w:r w:rsidR="00011538">
        <w:rPr>
          <w:rFonts w:ascii="Gill Sans MT" w:hAnsi="Gill Sans MT"/>
        </w:rPr>
        <w:t xml:space="preserve"> </w:t>
      </w:r>
      <w:r w:rsidR="00011538" w:rsidRPr="00011538">
        <w:rPr>
          <w:rFonts w:ascii="Gill Sans MT" w:hAnsi="Gill Sans MT"/>
        </w:rPr>
        <w:t>with the medication regimen. Th</w:t>
      </w:r>
      <w:r w:rsidR="00011538">
        <w:rPr>
          <w:rFonts w:ascii="Gill Sans MT" w:hAnsi="Gill Sans MT"/>
        </w:rPr>
        <w:t xml:space="preserve">erapy is customized to client </w:t>
      </w:r>
      <w:r w:rsidR="00011538" w:rsidRPr="00011538">
        <w:rPr>
          <w:rFonts w:ascii="Gill Sans MT" w:hAnsi="Gill Sans MT"/>
        </w:rPr>
        <w:t xml:space="preserve">needs and </w:t>
      </w:r>
      <w:r w:rsidR="00011538">
        <w:rPr>
          <w:rFonts w:ascii="Gill Sans MT" w:hAnsi="Gill Sans MT"/>
        </w:rPr>
        <w:t xml:space="preserve">there is </w:t>
      </w:r>
      <w:r w:rsidR="00011538" w:rsidRPr="00011538">
        <w:rPr>
          <w:rFonts w:ascii="Gill Sans MT" w:hAnsi="Gill Sans MT"/>
        </w:rPr>
        <w:t>benefit from a synerg</w:t>
      </w:r>
      <w:r w:rsidR="004F6D2A">
        <w:rPr>
          <w:rFonts w:ascii="Gill Sans MT" w:hAnsi="Gill Sans MT"/>
        </w:rPr>
        <w:t xml:space="preserve">ism </w:t>
      </w:r>
      <w:r w:rsidR="00011538">
        <w:rPr>
          <w:rFonts w:ascii="Gill Sans MT" w:hAnsi="Gill Sans MT"/>
        </w:rPr>
        <w:t>tha</w:t>
      </w:r>
      <w:r w:rsidR="00011DA4">
        <w:rPr>
          <w:rFonts w:ascii="Gill Sans MT" w:hAnsi="Gill Sans MT"/>
        </w:rPr>
        <w:t>n</w:t>
      </w:r>
      <w:r w:rsidR="00011538">
        <w:rPr>
          <w:rFonts w:ascii="Gill Sans MT" w:hAnsi="Gill Sans MT"/>
        </w:rPr>
        <w:t xml:space="preserve"> </w:t>
      </w:r>
      <w:r w:rsidR="004F6D2A">
        <w:rPr>
          <w:rFonts w:ascii="Gill Sans MT" w:hAnsi="Gill Sans MT"/>
        </w:rPr>
        <w:t xml:space="preserve">what </w:t>
      </w:r>
      <w:r w:rsidR="00011538">
        <w:rPr>
          <w:rFonts w:ascii="Gill Sans MT" w:hAnsi="Gill Sans MT"/>
        </w:rPr>
        <w:t xml:space="preserve">supportive </w:t>
      </w:r>
      <w:r w:rsidR="00011538" w:rsidRPr="00011538">
        <w:rPr>
          <w:rFonts w:ascii="Gill Sans MT" w:hAnsi="Gill Sans MT"/>
        </w:rPr>
        <w:t>and coping skills therapy might offer individually.</w:t>
      </w:r>
      <w:r w:rsidR="00A46228">
        <w:rPr>
          <w:rFonts w:ascii="Gill Sans MT" w:hAnsi="Gill Sans MT"/>
        </w:rPr>
        <w:t xml:space="preserve"> The table below summarizes </w:t>
      </w:r>
      <w:r w:rsidR="00422458">
        <w:rPr>
          <w:rFonts w:ascii="Gill Sans MT" w:hAnsi="Gill Sans MT"/>
        </w:rPr>
        <w:t>Vivitrol</w:t>
      </w:r>
      <w:r w:rsidR="00A46228">
        <w:rPr>
          <w:rFonts w:ascii="Gill Sans MT" w:hAnsi="Gill Sans MT"/>
        </w:rPr>
        <w:t xml:space="preserve"> benefits</w:t>
      </w:r>
      <w:r w:rsidR="00422458">
        <w:rPr>
          <w:rFonts w:ascii="Gill Sans MT" w:hAnsi="Gill Sans MT"/>
        </w:rPr>
        <w:t>.</w:t>
      </w:r>
    </w:p>
    <w:tbl>
      <w:tblPr>
        <w:tblStyle w:val="TableGrid"/>
        <w:tblW w:w="0" w:type="auto"/>
        <w:tblLook w:val="04A0" w:firstRow="1" w:lastRow="0" w:firstColumn="1" w:lastColumn="0" w:noHBand="0" w:noVBand="1"/>
      </w:tblPr>
      <w:tblGrid>
        <w:gridCol w:w="3615"/>
        <w:gridCol w:w="3587"/>
        <w:gridCol w:w="3588"/>
      </w:tblGrid>
      <w:tr w:rsidR="001849BF" w:rsidTr="00123229">
        <w:tc>
          <w:tcPr>
            <w:tcW w:w="3672" w:type="dxa"/>
          </w:tcPr>
          <w:p w:rsidR="001849BF" w:rsidRPr="00123229" w:rsidRDefault="001849BF" w:rsidP="001849BF">
            <w:pPr>
              <w:jc w:val="center"/>
              <w:rPr>
                <w:rFonts w:ascii="Gill Sans MT" w:hAnsi="Gill Sans MT"/>
                <w:b/>
                <w:sz w:val="24"/>
              </w:rPr>
            </w:pPr>
            <w:r w:rsidRPr="00123229">
              <w:rPr>
                <w:rFonts w:ascii="Gill Sans MT" w:hAnsi="Gill Sans MT"/>
                <w:b/>
                <w:sz w:val="24"/>
              </w:rPr>
              <w:t>Benefits</w:t>
            </w:r>
          </w:p>
        </w:tc>
        <w:tc>
          <w:tcPr>
            <w:tcW w:w="3672" w:type="dxa"/>
          </w:tcPr>
          <w:p w:rsidR="001849BF" w:rsidRDefault="001849BF" w:rsidP="001849BF">
            <w:pPr>
              <w:jc w:val="center"/>
              <w:rPr>
                <w:rFonts w:ascii="Gill Sans MT" w:hAnsi="Gill Sans MT"/>
                <w:b/>
                <w:sz w:val="24"/>
              </w:rPr>
            </w:pPr>
            <w:r>
              <w:rPr>
                <w:rFonts w:ascii="Gill Sans MT" w:hAnsi="Gill Sans MT"/>
                <w:b/>
                <w:sz w:val="24"/>
              </w:rPr>
              <w:t>Treatment Effects</w:t>
            </w:r>
          </w:p>
          <w:p w:rsidR="001849BF" w:rsidRPr="00123229" w:rsidRDefault="001849BF" w:rsidP="001849BF">
            <w:pPr>
              <w:jc w:val="center"/>
              <w:rPr>
                <w:rFonts w:ascii="Gill Sans MT" w:hAnsi="Gill Sans MT"/>
                <w:b/>
                <w:sz w:val="24"/>
              </w:rPr>
            </w:pPr>
            <w:r>
              <w:rPr>
                <w:rFonts w:ascii="Gill Sans MT" w:hAnsi="Gill Sans MT"/>
                <w:b/>
                <w:sz w:val="24"/>
              </w:rPr>
              <w:t>(decrease)</w:t>
            </w:r>
          </w:p>
        </w:tc>
        <w:tc>
          <w:tcPr>
            <w:tcW w:w="3672" w:type="dxa"/>
          </w:tcPr>
          <w:p w:rsidR="001849BF" w:rsidRPr="00123229" w:rsidRDefault="001849BF" w:rsidP="001849BF">
            <w:pPr>
              <w:jc w:val="center"/>
              <w:rPr>
                <w:rFonts w:ascii="Gill Sans MT" w:hAnsi="Gill Sans MT"/>
                <w:b/>
                <w:sz w:val="24"/>
              </w:rPr>
            </w:pPr>
            <w:r w:rsidRPr="00123229">
              <w:rPr>
                <w:rFonts w:ascii="Gill Sans MT" w:hAnsi="Gill Sans MT"/>
                <w:b/>
                <w:sz w:val="24"/>
              </w:rPr>
              <w:t>Treatment Outcomes</w:t>
            </w:r>
            <w:r>
              <w:rPr>
                <w:rFonts w:ascii="Gill Sans MT" w:hAnsi="Gill Sans MT"/>
                <w:b/>
                <w:sz w:val="24"/>
              </w:rPr>
              <w:t xml:space="preserve"> (improved)</w:t>
            </w:r>
          </w:p>
        </w:tc>
      </w:tr>
      <w:tr w:rsidR="001849BF" w:rsidTr="00A46228">
        <w:tc>
          <w:tcPr>
            <w:tcW w:w="3672" w:type="dxa"/>
          </w:tcPr>
          <w:p w:rsidR="001849BF" w:rsidRDefault="001849BF" w:rsidP="00011538">
            <w:pPr>
              <w:rPr>
                <w:rFonts w:ascii="Gill Sans MT" w:hAnsi="Gill Sans MT"/>
              </w:rPr>
            </w:pPr>
            <w:r>
              <w:rPr>
                <w:rFonts w:ascii="Gill Sans MT" w:hAnsi="Gill Sans MT"/>
              </w:rPr>
              <w:t>Prescribed/monitored by a medical professional</w:t>
            </w:r>
          </w:p>
        </w:tc>
        <w:tc>
          <w:tcPr>
            <w:tcW w:w="3672" w:type="dxa"/>
          </w:tcPr>
          <w:p w:rsidR="001849BF" w:rsidRDefault="001849BF" w:rsidP="00011538">
            <w:pPr>
              <w:rPr>
                <w:rFonts w:ascii="Gill Sans MT" w:hAnsi="Gill Sans MT"/>
              </w:rPr>
            </w:pPr>
            <w:r>
              <w:rPr>
                <w:rFonts w:ascii="Gill Sans MT" w:hAnsi="Gill Sans MT"/>
              </w:rPr>
              <w:t>Cravings</w:t>
            </w:r>
          </w:p>
        </w:tc>
        <w:tc>
          <w:tcPr>
            <w:tcW w:w="3672" w:type="dxa"/>
          </w:tcPr>
          <w:p w:rsidR="001849BF" w:rsidRDefault="001849BF" w:rsidP="00595DBC">
            <w:pPr>
              <w:rPr>
                <w:rFonts w:ascii="Gill Sans MT" w:hAnsi="Gill Sans MT"/>
              </w:rPr>
            </w:pPr>
            <w:r>
              <w:rPr>
                <w:rFonts w:ascii="Gill Sans MT" w:hAnsi="Gill Sans MT"/>
              </w:rPr>
              <w:t>Success rates in the first six (6) months of recovery</w:t>
            </w:r>
          </w:p>
        </w:tc>
      </w:tr>
      <w:tr w:rsidR="001849BF" w:rsidTr="00A46228">
        <w:tc>
          <w:tcPr>
            <w:tcW w:w="3672" w:type="dxa"/>
          </w:tcPr>
          <w:p w:rsidR="001849BF" w:rsidRDefault="001849BF" w:rsidP="00011538">
            <w:pPr>
              <w:rPr>
                <w:rFonts w:ascii="Gill Sans MT" w:hAnsi="Gill Sans MT"/>
              </w:rPr>
            </w:pPr>
            <w:r>
              <w:rPr>
                <w:rFonts w:ascii="Gill Sans MT" w:hAnsi="Gill Sans MT"/>
              </w:rPr>
              <w:t>FDA-approved</w:t>
            </w:r>
          </w:p>
        </w:tc>
        <w:tc>
          <w:tcPr>
            <w:tcW w:w="3672" w:type="dxa"/>
          </w:tcPr>
          <w:p w:rsidR="001849BF" w:rsidRDefault="001849BF" w:rsidP="00011538">
            <w:pPr>
              <w:rPr>
                <w:rFonts w:ascii="Gill Sans MT" w:hAnsi="Gill Sans MT"/>
              </w:rPr>
            </w:pPr>
            <w:r>
              <w:rPr>
                <w:rFonts w:ascii="Gill Sans MT" w:hAnsi="Gill Sans MT"/>
              </w:rPr>
              <w:t>Drug-related deaths</w:t>
            </w:r>
          </w:p>
        </w:tc>
        <w:tc>
          <w:tcPr>
            <w:tcW w:w="3672" w:type="dxa"/>
          </w:tcPr>
          <w:p w:rsidR="001849BF" w:rsidRDefault="001849BF" w:rsidP="00595DBC">
            <w:pPr>
              <w:rPr>
                <w:rFonts w:ascii="Gill Sans MT" w:hAnsi="Gill Sans MT"/>
              </w:rPr>
            </w:pPr>
            <w:r>
              <w:rPr>
                <w:rFonts w:ascii="Gill Sans MT" w:hAnsi="Gill Sans MT"/>
              </w:rPr>
              <w:t>Treatment retention</w:t>
            </w:r>
          </w:p>
        </w:tc>
      </w:tr>
      <w:tr w:rsidR="001849BF" w:rsidTr="00A46228">
        <w:tc>
          <w:tcPr>
            <w:tcW w:w="3672" w:type="dxa"/>
          </w:tcPr>
          <w:p w:rsidR="001849BF" w:rsidRDefault="001849BF" w:rsidP="00011538">
            <w:pPr>
              <w:rPr>
                <w:rFonts w:ascii="Gill Sans MT" w:hAnsi="Gill Sans MT"/>
              </w:rPr>
            </w:pPr>
            <w:r>
              <w:rPr>
                <w:rFonts w:ascii="Gill Sans MT" w:hAnsi="Gill Sans MT"/>
              </w:rPr>
              <w:t>Regulated potency</w:t>
            </w:r>
          </w:p>
        </w:tc>
        <w:tc>
          <w:tcPr>
            <w:tcW w:w="3672" w:type="dxa"/>
          </w:tcPr>
          <w:p w:rsidR="001849BF" w:rsidRDefault="001849BF" w:rsidP="00011538">
            <w:pPr>
              <w:rPr>
                <w:rFonts w:ascii="Gill Sans MT" w:hAnsi="Gill Sans MT"/>
              </w:rPr>
            </w:pPr>
            <w:r>
              <w:rPr>
                <w:rFonts w:ascii="Gill Sans MT" w:hAnsi="Gill Sans MT"/>
              </w:rPr>
              <w:t>Risk of relapse on alcohol /opioid use</w:t>
            </w:r>
          </w:p>
        </w:tc>
        <w:tc>
          <w:tcPr>
            <w:tcW w:w="3672" w:type="dxa"/>
          </w:tcPr>
          <w:p w:rsidR="001849BF" w:rsidRDefault="001849BF" w:rsidP="00595DBC">
            <w:pPr>
              <w:rPr>
                <w:rFonts w:ascii="Gill Sans MT" w:hAnsi="Gill Sans MT"/>
              </w:rPr>
            </w:pPr>
            <w:r>
              <w:rPr>
                <w:rFonts w:ascii="Gill Sans MT" w:hAnsi="Gill Sans MT"/>
              </w:rPr>
              <w:t>Likelihood of abstinence</w:t>
            </w:r>
          </w:p>
        </w:tc>
      </w:tr>
      <w:tr w:rsidR="001849BF" w:rsidTr="00A46228">
        <w:tc>
          <w:tcPr>
            <w:tcW w:w="3672" w:type="dxa"/>
          </w:tcPr>
          <w:p w:rsidR="001849BF" w:rsidRDefault="001849BF" w:rsidP="00011538">
            <w:pPr>
              <w:rPr>
                <w:rFonts w:ascii="Gill Sans MT" w:hAnsi="Gill Sans MT"/>
              </w:rPr>
            </w:pPr>
            <w:r>
              <w:rPr>
                <w:rFonts w:ascii="Gill Sans MT" w:hAnsi="Gill Sans MT"/>
              </w:rPr>
              <w:t>Curbs cravings and withdrawals</w:t>
            </w:r>
          </w:p>
        </w:tc>
        <w:tc>
          <w:tcPr>
            <w:tcW w:w="3672" w:type="dxa"/>
          </w:tcPr>
          <w:p w:rsidR="001849BF" w:rsidRDefault="001849BF" w:rsidP="00011538">
            <w:pPr>
              <w:rPr>
                <w:rFonts w:ascii="Gill Sans MT" w:hAnsi="Gill Sans MT"/>
              </w:rPr>
            </w:pPr>
            <w:r>
              <w:rPr>
                <w:rFonts w:ascii="Gill Sans MT" w:hAnsi="Gill Sans MT"/>
              </w:rPr>
              <w:t>Total number of drinking days</w:t>
            </w:r>
          </w:p>
        </w:tc>
        <w:tc>
          <w:tcPr>
            <w:tcW w:w="3672" w:type="dxa"/>
          </w:tcPr>
          <w:p w:rsidR="001849BF" w:rsidRDefault="001849BF" w:rsidP="00595DBC">
            <w:pPr>
              <w:rPr>
                <w:rFonts w:ascii="Gill Sans MT" w:hAnsi="Gill Sans MT"/>
              </w:rPr>
            </w:pPr>
            <w:r>
              <w:rPr>
                <w:rFonts w:ascii="Gill Sans MT" w:hAnsi="Gill Sans MT"/>
              </w:rPr>
              <w:t>Employment rates</w:t>
            </w:r>
          </w:p>
        </w:tc>
      </w:tr>
      <w:tr w:rsidR="001849BF" w:rsidTr="00A46228">
        <w:tc>
          <w:tcPr>
            <w:tcW w:w="3672" w:type="dxa"/>
          </w:tcPr>
          <w:p w:rsidR="001849BF" w:rsidRDefault="001849BF" w:rsidP="00011538">
            <w:pPr>
              <w:rPr>
                <w:rFonts w:ascii="Gill Sans MT" w:hAnsi="Gill Sans MT"/>
              </w:rPr>
            </w:pPr>
            <w:r>
              <w:rPr>
                <w:rFonts w:ascii="Gill Sans MT" w:hAnsi="Gill Sans MT"/>
              </w:rPr>
              <w:t>Benefits outweigh risks</w:t>
            </w:r>
          </w:p>
        </w:tc>
        <w:tc>
          <w:tcPr>
            <w:tcW w:w="3672" w:type="dxa"/>
          </w:tcPr>
          <w:p w:rsidR="001849BF" w:rsidRDefault="001849BF" w:rsidP="00011538">
            <w:pPr>
              <w:rPr>
                <w:rFonts w:ascii="Gill Sans MT" w:hAnsi="Gill Sans MT"/>
              </w:rPr>
            </w:pPr>
            <w:r>
              <w:rPr>
                <w:rFonts w:ascii="Gill Sans MT" w:hAnsi="Gill Sans MT"/>
              </w:rPr>
              <w:t>Criminal activities</w:t>
            </w:r>
          </w:p>
        </w:tc>
        <w:tc>
          <w:tcPr>
            <w:tcW w:w="3672" w:type="dxa"/>
          </w:tcPr>
          <w:p w:rsidR="001849BF" w:rsidRDefault="001849BF" w:rsidP="00011538">
            <w:pPr>
              <w:rPr>
                <w:rFonts w:ascii="Gill Sans MT" w:hAnsi="Gill Sans MT"/>
              </w:rPr>
            </w:pPr>
          </w:p>
        </w:tc>
      </w:tr>
    </w:tbl>
    <w:p w:rsidR="00A7411B" w:rsidRDefault="00A7411B" w:rsidP="00AF6A2E">
      <w:pPr>
        <w:rPr>
          <w:rFonts w:ascii="Gill Sans MT" w:hAnsi="Gill Sans MT"/>
          <w:b/>
        </w:rPr>
      </w:pPr>
    </w:p>
    <w:p w:rsidR="00CD7020" w:rsidRPr="00CD7020" w:rsidRDefault="00CD7020" w:rsidP="00D1367E">
      <w:pPr>
        <w:jc w:val="both"/>
        <w:rPr>
          <w:rFonts w:ascii="Gill Sans MT" w:hAnsi="Gill Sans MT"/>
          <w:b/>
        </w:rPr>
      </w:pPr>
      <w:r w:rsidRPr="00CD7020">
        <w:rPr>
          <w:rFonts w:ascii="Gill Sans MT" w:hAnsi="Gill Sans MT"/>
          <w:b/>
        </w:rPr>
        <w:t>DEFINITIONS</w:t>
      </w:r>
    </w:p>
    <w:p w:rsidR="00CD7020" w:rsidRPr="00CD7020" w:rsidRDefault="00CD7020" w:rsidP="00D1367E">
      <w:pPr>
        <w:jc w:val="both"/>
        <w:rPr>
          <w:rFonts w:ascii="Gill Sans MT" w:hAnsi="Gill Sans MT"/>
        </w:rPr>
      </w:pPr>
      <w:r w:rsidRPr="00CD7020">
        <w:rPr>
          <w:rFonts w:ascii="Gill Sans MT" w:hAnsi="Gill Sans MT"/>
          <w:i/>
        </w:rPr>
        <w:t>Agonist:</w:t>
      </w:r>
      <w:r w:rsidRPr="00CD7020">
        <w:rPr>
          <w:rFonts w:ascii="Gill Sans MT" w:hAnsi="Gill Sans MT"/>
        </w:rPr>
        <w:t xml:space="preserve"> A drug that binds to a receptor of a cell and triggers a response by the cell. An agonist often mimics the action</w:t>
      </w:r>
      <w:r>
        <w:rPr>
          <w:rFonts w:ascii="Gill Sans MT" w:hAnsi="Gill Sans MT"/>
        </w:rPr>
        <w:t xml:space="preserve"> </w:t>
      </w:r>
      <w:r w:rsidRPr="00CD7020">
        <w:rPr>
          <w:rFonts w:ascii="Gill Sans MT" w:hAnsi="Gill Sans MT"/>
        </w:rPr>
        <w:t>of a naturally occurring substance.</w:t>
      </w:r>
    </w:p>
    <w:p w:rsidR="00CD7020" w:rsidRPr="00CD7020" w:rsidRDefault="00CD7020" w:rsidP="00D1367E">
      <w:pPr>
        <w:jc w:val="both"/>
        <w:rPr>
          <w:rFonts w:ascii="Gill Sans MT" w:hAnsi="Gill Sans MT"/>
        </w:rPr>
      </w:pPr>
      <w:r w:rsidRPr="00CD7020">
        <w:rPr>
          <w:rFonts w:ascii="Gill Sans MT" w:hAnsi="Gill Sans MT"/>
          <w:i/>
        </w:rPr>
        <w:t>Antagonist:</w:t>
      </w:r>
      <w:r w:rsidRPr="00CD7020">
        <w:rPr>
          <w:rFonts w:ascii="Gill Sans MT" w:hAnsi="Gill Sans MT"/>
        </w:rPr>
        <w:t xml:space="preserve"> A substance that tends to nullify the action of another, as a drug that binds to a </w:t>
      </w:r>
      <w:r>
        <w:rPr>
          <w:rFonts w:ascii="Gill Sans MT" w:hAnsi="Gill Sans MT"/>
        </w:rPr>
        <w:t xml:space="preserve">cell receptor without eliciting </w:t>
      </w:r>
      <w:r w:rsidRPr="00CD7020">
        <w:rPr>
          <w:rFonts w:ascii="Gill Sans MT" w:hAnsi="Gill Sans MT"/>
        </w:rPr>
        <w:t>a biological response, blocking binding of substances that could elicit such responses.</w:t>
      </w:r>
    </w:p>
    <w:p w:rsidR="00CD7020" w:rsidRPr="00CD7020" w:rsidRDefault="00CD7020" w:rsidP="00D1367E">
      <w:pPr>
        <w:jc w:val="both"/>
        <w:rPr>
          <w:rFonts w:ascii="Gill Sans MT" w:hAnsi="Gill Sans MT"/>
        </w:rPr>
      </w:pPr>
      <w:r w:rsidRPr="00CD7020">
        <w:rPr>
          <w:rFonts w:ascii="Gill Sans MT" w:hAnsi="Gill Sans MT"/>
          <w:i/>
        </w:rPr>
        <w:t>Endogenous:</w:t>
      </w:r>
      <w:r w:rsidRPr="00CD7020">
        <w:rPr>
          <w:rFonts w:ascii="Gill Sans MT" w:hAnsi="Gill Sans MT"/>
        </w:rPr>
        <w:t xml:space="preserve"> Originating or produced within the body.</w:t>
      </w:r>
    </w:p>
    <w:p w:rsidR="00CD7020" w:rsidRPr="00CD7020" w:rsidRDefault="00CD7020" w:rsidP="00D1367E">
      <w:pPr>
        <w:jc w:val="both"/>
        <w:rPr>
          <w:rFonts w:ascii="Gill Sans MT" w:hAnsi="Gill Sans MT"/>
        </w:rPr>
      </w:pPr>
      <w:r w:rsidRPr="00CD7020">
        <w:rPr>
          <w:rFonts w:ascii="Gill Sans MT" w:hAnsi="Gill Sans MT"/>
          <w:i/>
        </w:rPr>
        <w:t>Exogenous:</w:t>
      </w:r>
      <w:r w:rsidRPr="00CD7020">
        <w:rPr>
          <w:rFonts w:ascii="Gill Sans MT" w:hAnsi="Gill Sans MT"/>
        </w:rPr>
        <w:t xml:space="preserve"> Originating from outside the body; derived externally.</w:t>
      </w:r>
    </w:p>
    <w:p w:rsidR="00CD7020" w:rsidRPr="00CD7020" w:rsidRDefault="00CD7020" w:rsidP="00D1367E">
      <w:pPr>
        <w:jc w:val="both"/>
        <w:rPr>
          <w:rFonts w:ascii="Gill Sans MT" w:hAnsi="Gill Sans MT"/>
        </w:rPr>
      </w:pPr>
      <w:r w:rsidRPr="00CD7020">
        <w:rPr>
          <w:rFonts w:ascii="Gill Sans MT" w:hAnsi="Gill Sans MT"/>
          <w:i/>
        </w:rPr>
        <w:lastRenderedPageBreak/>
        <w:t>First-pass hepatic metabolism:</w:t>
      </w:r>
      <w:r w:rsidRPr="00CD7020">
        <w:rPr>
          <w:rFonts w:ascii="Gill Sans MT" w:hAnsi="Gill Sans MT"/>
        </w:rPr>
        <w:t xml:space="preserve"> When an oral medication undergoes passage through th</w:t>
      </w:r>
      <w:r>
        <w:rPr>
          <w:rFonts w:ascii="Gill Sans MT" w:hAnsi="Gill Sans MT"/>
        </w:rPr>
        <w:t xml:space="preserve">e gut and liver before reaching </w:t>
      </w:r>
      <w:r w:rsidRPr="00CD7020">
        <w:rPr>
          <w:rFonts w:ascii="Gill Sans MT" w:hAnsi="Gill Sans MT"/>
        </w:rPr>
        <w:t>the systemic circulation; the concept provides information about the therapeutic effect of an oral</w:t>
      </w:r>
      <w:r>
        <w:rPr>
          <w:rFonts w:ascii="Gill Sans MT" w:hAnsi="Gill Sans MT"/>
        </w:rPr>
        <w:t xml:space="preserve">ly administered drug </w:t>
      </w:r>
      <w:r w:rsidRPr="00CD7020">
        <w:rPr>
          <w:rFonts w:ascii="Gill Sans MT" w:hAnsi="Gill Sans MT"/>
        </w:rPr>
        <w:t>versus administration via intramuscular or intravenous injection.</w:t>
      </w:r>
    </w:p>
    <w:p w:rsidR="00CD7020" w:rsidRDefault="00CD7020" w:rsidP="00D1367E">
      <w:pPr>
        <w:jc w:val="both"/>
        <w:rPr>
          <w:rFonts w:ascii="Gill Sans MT" w:hAnsi="Gill Sans MT"/>
        </w:rPr>
      </w:pPr>
      <w:r w:rsidRPr="00CD7020">
        <w:rPr>
          <w:rFonts w:ascii="Gill Sans MT" w:hAnsi="Gill Sans MT"/>
          <w:i/>
        </w:rPr>
        <w:t>Naloxone Challenge Test:</w:t>
      </w:r>
      <w:r w:rsidRPr="00CD7020">
        <w:rPr>
          <w:rFonts w:ascii="Gill Sans MT" w:hAnsi="Gill Sans MT"/>
        </w:rPr>
        <w:t xml:space="preserve"> A test in which naloxone is administered to verify curren</w:t>
      </w:r>
      <w:r>
        <w:rPr>
          <w:rFonts w:ascii="Gill Sans MT" w:hAnsi="Gill Sans MT"/>
        </w:rPr>
        <w:t xml:space="preserve">t opioid dependence. Withdrawal </w:t>
      </w:r>
      <w:r w:rsidRPr="00CD7020">
        <w:rPr>
          <w:rFonts w:ascii="Gill Sans MT" w:hAnsi="Gill Sans MT"/>
        </w:rPr>
        <w:t>symptoms evoked by naloxone's antagonist interaction with opioids confirm an individual's current dependence.</w:t>
      </w:r>
    </w:p>
    <w:p w:rsidR="00AF6A2E" w:rsidRPr="00597071" w:rsidRDefault="00AF6A2E" w:rsidP="00D1367E">
      <w:pPr>
        <w:contextualSpacing/>
        <w:jc w:val="both"/>
        <w:rPr>
          <w:rFonts w:ascii="Gill Sans MT" w:hAnsi="Gill Sans MT"/>
          <w:b/>
        </w:rPr>
      </w:pPr>
      <w:r w:rsidRPr="00597071">
        <w:rPr>
          <w:rFonts w:ascii="Gill Sans MT" w:hAnsi="Gill Sans MT"/>
          <w:b/>
        </w:rPr>
        <w:t>CLINICAL INDICATIONS/MEDICAL NECESSITY</w:t>
      </w:r>
    </w:p>
    <w:p w:rsidR="002829A9" w:rsidRDefault="002829A9" w:rsidP="00D1367E">
      <w:pPr>
        <w:contextualSpacing/>
        <w:jc w:val="both"/>
        <w:rPr>
          <w:rFonts w:ascii="Gill Sans MT" w:hAnsi="Gill Sans MT"/>
          <w:b/>
        </w:rPr>
      </w:pPr>
    </w:p>
    <w:p w:rsidR="00CD7020" w:rsidRDefault="00597071" w:rsidP="00D1367E">
      <w:pPr>
        <w:contextualSpacing/>
        <w:jc w:val="both"/>
        <w:rPr>
          <w:rFonts w:ascii="Gill Sans MT" w:hAnsi="Gill Sans MT"/>
          <w:b/>
        </w:rPr>
      </w:pPr>
      <w:r>
        <w:rPr>
          <w:rFonts w:ascii="Gill Sans MT" w:hAnsi="Gill Sans MT"/>
          <w:b/>
        </w:rPr>
        <w:t>Alcohol Dependence</w:t>
      </w:r>
    </w:p>
    <w:p w:rsidR="00AA6516" w:rsidRDefault="00CD7020" w:rsidP="00D1367E">
      <w:pPr>
        <w:contextualSpacing/>
        <w:jc w:val="both"/>
        <w:rPr>
          <w:rFonts w:ascii="Gill Sans MT" w:hAnsi="Gill Sans MT"/>
        </w:rPr>
      </w:pPr>
      <w:r w:rsidRPr="00CD7020">
        <w:rPr>
          <w:rFonts w:ascii="Gill Sans MT" w:hAnsi="Gill Sans MT"/>
        </w:rPr>
        <w:t xml:space="preserve">In people with alcohol dependence, it is believed that this blockade (opioid antagonism) diminishes craving for alcohol and leads to a greater ability to resist urges to drink excessively. Naltrexone is available in two forms: oral daily form (ReVia®, Depade®) and injectable monthly extended-release form (Vivitrol®). The </w:t>
      </w:r>
      <w:r w:rsidR="004F490F">
        <w:rPr>
          <w:rFonts w:ascii="Gill Sans MT" w:hAnsi="Gill Sans MT"/>
        </w:rPr>
        <w:t>latter</w:t>
      </w:r>
      <w:r w:rsidR="004F490F" w:rsidRPr="00CD7020">
        <w:rPr>
          <w:rFonts w:ascii="Gill Sans MT" w:hAnsi="Gill Sans MT"/>
        </w:rPr>
        <w:t xml:space="preserve"> </w:t>
      </w:r>
      <w:r w:rsidRPr="00CD7020">
        <w:rPr>
          <w:rFonts w:ascii="Gill Sans MT" w:hAnsi="Gill Sans MT"/>
        </w:rPr>
        <w:t xml:space="preserve">was approved by FDA for treatment of alcohol dependence in 2006. </w:t>
      </w:r>
      <w:r>
        <w:rPr>
          <w:rFonts w:ascii="Gill Sans MT" w:hAnsi="Gill Sans MT"/>
          <w:b/>
        </w:rPr>
        <w:t xml:space="preserve"> </w:t>
      </w:r>
      <w:r w:rsidRPr="00CD7020">
        <w:rPr>
          <w:rFonts w:ascii="Gill Sans MT" w:hAnsi="Gill Sans MT"/>
        </w:rPr>
        <w:t xml:space="preserve">Although the mechanism responsible for the reduction in alcohol consumption observed with treatment is not entirely understood, preclinical data suggests that occupation of the opioid receptors results in the blockade of the neurotransmitters in the brain that are believed to be involved with alcohol dependence. This blockade may result in the reduction in alcohol </w:t>
      </w:r>
      <w:r w:rsidR="00AA6516">
        <w:rPr>
          <w:rFonts w:ascii="Gill Sans MT" w:hAnsi="Gill Sans MT"/>
        </w:rPr>
        <w:t>consumption observed in people</w:t>
      </w:r>
      <w:r w:rsidRPr="00CD7020">
        <w:rPr>
          <w:rFonts w:ascii="Gill Sans MT" w:hAnsi="Gill Sans MT"/>
        </w:rPr>
        <w:t xml:space="preserve"> treated with naltrexone.</w:t>
      </w:r>
      <w:r w:rsidR="00AA6516">
        <w:rPr>
          <w:rFonts w:ascii="Gill Sans MT" w:hAnsi="Gill Sans MT"/>
        </w:rPr>
        <w:t xml:space="preserve"> </w:t>
      </w:r>
    </w:p>
    <w:p w:rsidR="00A7411B" w:rsidRDefault="00A7411B" w:rsidP="00D1367E">
      <w:pPr>
        <w:contextualSpacing/>
        <w:jc w:val="both"/>
        <w:rPr>
          <w:rFonts w:ascii="Gill Sans MT" w:hAnsi="Gill Sans MT"/>
        </w:rPr>
      </w:pPr>
    </w:p>
    <w:p w:rsidR="00AF6A2E" w:rsidRPr="002E08CD" w:rsidRDefault="00AF6A2E" w:rsidP="00D1367E">
      <w:pPr>
        <w:jc w:val="both"/>
        <w:rPr>
          <w:rFonts w:ascii="Gill Sans MT" w:hAnsi="Gill Sans MT"/>
          <w:b/>
        </w:rPr>
      </w:pPr>
      <w:r w:rsidRPr="002E08CD">
        <w:rPr>
          <w:rFonts w:ascii="Gill Sans MT" w:hAnsi="Gill Sans MT"/>
        </w:rPr>
        <w:t>Injectable naltrexone (Vivitrol) is considered medically necessary for the treat</w:t>
      </w:r>
      <w:r w:rsidR="005A6293" w:rsidRPr="002E08CD">
        <w:rPr>
          <w:rFonts w:ascii="Gill Sans MT" w:hAnsi="Gill Sans MT"/>
        </w:rPr>
        <w:t xml:space="preserve">ment of alcohol dependence when </w:t>
      </w:r>
      <w:r w:rsidRPr="002E08CD">
        <w:rPr>
          <w:rFonts w:ascii="Gill Sans MT" w:hAnsi="Gill Sans MT"/>
        </w:rPr>
        <w:t>the individual:</w:t>
      </w:r>
    </w:p>
    <w:p w:rsidR="00597071" w:rsidRPr="002E08CD" w:rsidRDefault="00AF6A2E" w:rsidP="00D1367E">
      <w:pPr>
        <w:pStyle w:val="ListParagraph"/>
        <w:numPr>
          <w:ilvl w:val="0"/>
          <w:numId w:val="8"/>
        </w:numPr>
        <w:jc w:val="both"/>
        <w:rPr>
          <w:rFonts w:ascii="Gill Sans MT" w:hAnsi="Gill Sans MT"/>
        </w:rPr>
      </w:pPr>
      <w:r w:rsidRPr="002E08CD">
        <w:rPr>
          <w:rFonts w:ascii="Gill Sans MT" w:hAnsi="Gill Sans MT"/>
        </w:rPr>
        <w:t>Is being treated for alcohol dependence; AND</w:t>
      </w:r>
    </w:p>
    <w:p w:rsidR="00597071" w:rsidRPr="002E08CD" w:rsidRDefault="00AF6A2E" w:rsidP="00D1367E">
      <w:pPr>
        <w:pStyle w:val="ListParagraph"/>
        <w:numPr>
          <w:ilvl w:val="0"/>
          <w:numId w:val="8"/>
        </w:numPr>
        <w:jc w:val="both"/>
        <w:rPr>
          <w:rFonts w:ascii="Gill Sans MT" w:hAnsi="Gill Sans MT"/>
        </w:rPr>
      </w:pPr>
      <w:r w:rsidRPr="002E08CD">
        <w:rPr>
          <w:rFonts w:ascii="Gill Sans MT" w:hAnsi="Gill Sans MT"/>
        </w:rPr>
        <w:t xml:space="preserve">Is able to abstain from alcohol for at least </w:t>
      </w:r>
      <w:r w:rsidR="00422458">
        <w:rPr>
          <w:rFonts w:ascii="Gill Sans MT" w:hAnsi="Gill Sans MT"/>
        </w:rPr>
        <w:t>4</w:t>
      </w:r>
      <w:r w:rsidRPr="002E08CD">
        <w:rPr>
          <w:rFonts w:ascii="Gill Sans MT" w:hAnsi="Gill Sans MT"/>
        </w:rPr>
        <w:t xml:space="preserve"> days in an</w:t>
      </w:r>
      <w:r w:rsidR="00422458">
        <w:rPr>
          <w:rFonts w:ascii="Gill Sans MT" w:hAnsi="Gill Sans MT"/>
        </w:rPr>
        <w:t>y</w:t>
      </w:r>
      <w:r w:rsidRPr="002E08CD">
        <w:rPr>
          <w:rFonts w:ascii="Gill Sans MT" w:hAnsi="Gill Sans MT"/>
        </w:rPr>
        <w:t xml:space="preserve"> setting prior to treatment initiation; AND</w:t>
      </w:r>
    </w:p>
    <w:p w:rsidR="00597071" w:rsidRPr="002E08CD" w:rsidRDefault="00AF6A2E" w:rsidP="00D1367E">
      <w:pPr>
        <w:pStyle w:val="ListParagraph"/>
        <w:numPr>
          <w:ilvl w:val="0"/>
          <w:numId w:val="8"/>
        </w:numPr>
        <w:jc w:val="both"/>
        <w:rPr>
          <w:rFonts w:ascii="Gill Sans MT" w:hAnsi="Gill Sans MT"/>
        </w:rPr>
      </w:pPr>
      <w:r w:rsidRPr="002E08CD">
        <w:rPr>
          <w:rFonts w:ascii="Gill Sans MT" w:hAnsi="Gill Sans MT"/>
        </w:rPr>
        <w:t>Is not actively drinking at the time of initial injectable naltrexone (Vivitrol) administration; AND</w:t>
      </w:r>
    </w:p>
    <w:p w:rsidR="000D5BD9" w:rsidRPr="002E08CD" w:rsidRDefault="00AF6A2E" w:rsidP="00D1367E">
      <w:pPr>
        <w:pStyle w:val="ListParagraph"/>
        <w:numPr>
          <w:ilvl w:val="0"/>
          <w:numId w:val="8"/>
        </w:numPr>
        <w:jc w:val="both"/>
        <w:rPr>
          <w:rFonts w:ascii="Gill Sans MT" w:hAnsi="Gill Sans MT"/>
        </w:rPr>
      </w:pPr>
      <w:r w:rsidRPr="002E08CD">
        <w:rPr>
          <w:rFonts w:ascii="Gill Sans MT" w:hAnsi="Gill Sans MT"/>
        </w:rPr>
        <w:t>Actively participates in a comprehensive rehabilitation program that includes psychosocial support; AN</w:t>
      </w:r>
      <w:r w:rsidR="000D5BD9" w:rsidRPr="002E08CD">
        <w:rPr>
          <w:rFonts w:ascii="Gill Sans MT" w:hAnsi="Gill Sans MT"/>
        </w:rPr>
        <w:t>D</w:t>
      </w:r>
    </w:p>
    <w:p w:rsidR="000D5BD9" w:rsidRPr="002E08CD" w:rsidRDefault="00AF6A2E" w:rsidP="00D1367E">
      <w:pPr>
        <w:pStyle w:val="ListParagraph"/>
        <w:numPr>
          <w:ilvl w:val="0"/>
          <w:numId w:val="8"/>
        </w:numPr>
        <w:jc w:val="both"/>
        <w:rPr>
          <w:rFonts w:ascii="Gill Sans MT" w:hAnsi="Gill Sans MT"/>
        </w:rPr>
      </w:pPr>
      <w:r w:rsidRPr="002E08CD">
        <w:rPr>
          <w:rFonts w:ascii="Gill Sans MT" w:hAnsi="Gill Sans MT"/>
        </w:rPr>
        <w:t>Is not:</w:t>
      </w:r>
    </w:p>
    <w:p w:rsidR="000D5BD9" w:rsidRPr="002E08CD" w:rsidRDefault="00AF6A2E" w:rsidP="00D1367E">
      <w:pPr>
        <w:pStyle w:val="ListParagraph"/>
        <w:numPr>
          <w:ilvl w:val="1"/>
          <w:numId w:val="8"/>
        </w:numPr>
        <w:jc w:val="both"/>
        <w:rPr>
          <w:rFonts w:ascii="Gill Sans MT" w:hAnsi="Gill Sans MT"/>
        </w:rPr>
      </w:pPr>
      <w:r w:rsidRPr="002E08CD">
        <w:rPr>
          <w:rFonts w:ascii="Gill Sans MT" w:hAnsi="Gill Sans MT"/>
        </w:rPr>
        <w:t>Currently on opioid analgesics; OR</w:t>
      </w:r>
    </w:p>
    <w:p w:rsidR="000D5BD9" w:rsidRPr="002E08CD" w:rsidRDefault="00AF6A2E" w:rsidP="00D1367E">
      <w:pPr>
        <w:pStyle w:val="ListParagraph"/>
        <w:numPr>
          <w:ilvl w:val="1"/>
          <w:numId w:val="8"/>
        </w:numPr>
        <w:jc w:val="both"/>
        <w:rPr>
          <w:rFonts w:ascii="Gill Sans MT" w:hAnsi="Gill Sans MT"/>
        </w:rPr>
      </w:pPr>
      <w:r w:rsidRPr="002E08CD">
        <w:rPr>
          <w:rFonts w:ascii="Gill Sans MT" w:hAnsi="Gill Sans MT"/>
        </w:rPr>
        <w:t>Physiologically dependent on opioids; OR</w:t>
      </w:r>
    </w:p>
    <w:p w:rsidR="000D5BD9" w:rsidRPr="002E08CD" w:rsidRDefault="00AF6A2E" w:rsidP="00D1367E">
      <w:pPr>
        <w:pStyle w:val="ListParagraph"/>
        <w:numPr>
          <w:ilvl w:val="1"/>
          <w:numId w:val="8"/>
        </w:numPr>
        <w:jc w:val="both"/>
        <w:rPr>
          <w:rFonts w:ascii="Gill Sans MT" w:hAnsi="Gill Sans MT"/>
        </w:rPr>
      </w:pPr>
      <w:r w:rsidRPr="002E08CD">
        <w:rPr>
          <w:rFonts w:ascii="Gill Sans MT" w:hAnsi="Gill Sans MT"/>
        </w:rPr>
        <w:t>Currently in acute opioid withdrawal; AND</w:t>
      </w:r>
    </w:p>
    <w:p w:rsidR="000D5BD9" w:rsidRPr="002E08CD" w:rsidRDefault="00AF6A2E" w:rsidP="00D1367E">
      <w:pPr>
        <w:pStyle w:val="ListParagraph"/>
        <w:numPr>
          <w:ilvl w:val="0"/>
          <w:numId w:val="8"/>
        </w:numPr>
        <w:jc w:val="both"/>
        <w:rPr>
          <w:rFonts w:ascii="Gill Sans MT" w:hAnsi="Gill Sans MT"/>
        </w:rPr>
      </w:pPr>
      <w:r w:rsidRPr="002E08CD">
        <w:rPr>
          <w:rFonts w:ascii="Gill Sans MT" w:hAnsi="Gill Sans MT"/>
        </w:rPr>
        <w:t>Does not have:</w:t>
      </w:r>
    </w:p>
    <w:p w:rsidR="000D5BD9" w:rsidRPr="002E08CD" w:rsidRDefault="00AF6A2E" w:rsidP="00D1367E">
      <w:pPr>
        <w:pStyle w:val="ListParagraph"/>
        <w:numPr>
          <w:ilvl w:val="1"/>
          <w:numId w:val="8"/>
        </w:numPr>
        <w:jc w:val="both"/>
        <w:rPr>
          <w:rFonts w:ascii="Gill Sans MT" w:hAnsi="Gill Sans MT"/>
        </w:rPr>
      </w:pPr>
      <w:r w:rsidRPr="002E08CD">
        <w:rPr>
          <w:rFonts w:ascii="Gill Sans MT" w:hAnsi="Gill Sans MT"/>
        </w:rPr>
        <w:t>A positive urine screen for opioids; OR</w:t>
      </w:r>
    </w:p>
    <w:p w:rsidR="000D5BD9" w:rsidRPr="002E08CD" w:rsidRDefault="00AF6A2E" w:rsidP="00D1367E">
      <w:pPr>
        <w:pStyle w:val="ListParagraph"/>
        <w:numPr>
          <w:ilvl w:val="1"/>
          <w:numId w:val="8"/>
        </w:numPr>
        <w:jc w:val="both"/>
        <w:rPr>
          <w:rFonts w:ascii="Gill Sans MT" w:hAnsi="Gill Sans MT"/>
        </w:rPr>
      </w:pPr>
      <w:r w:rsidRPr="002E08CD">
        <w:rPr>
          <w:rFonts w:ascii="Gill Sans MT" w:hAnsi="Gill Sans MT"/>
        </w:rPr>
        <w:t>A failed naloxone challenge test; OR</w:t>
      </w:r>
    </w:p>
    <w:p w:rsidR="000D5BD9" w:rsidRPr="002E08CD" w:rsidRDefault="00AF6A2E" w:rsidP="00D1367E">
      <w:pPr>
        <w:pStyle w:val="ListParagraph"/>
        <w:numPr>
          <w:ilvl w:val="1"/>
          <w:numId w:val="8"/>
        </w:numPr>
        <w:jc w:val="both"/>
        <w:rPr>
          <w:rFonts w:ascii="Gill Sans MT" w:hAnsi="Gill Sans MT"/>
        </w:rPr>
      </w:pPr>
      <w:r w:rsidRPr="002E08CD">
        <w:rPr>
          <w:rFonts w:ascii="Gill Sans MT" w:hAnsi="Gill Sans MT"/>
        </w:rPr>
        <w:t>Acute hepatitis; OR</w:t>
      </w:r>
    </w:p>
    <w:p w:rsidR="000D5BD9" w:rsidRDefault="00AF6A2E" w:rsidP="00D1367E">
      <w:pPr>
        <w:pStyle w:val="ListParagraph"/>
        <w:numPr>
          <w:ilvl w:val="1"/>
          <w:numId w:val="8"/>
        </w:numPr>
        <w:jc w:val="both"/>
        <w:rPr>
          <w:rFonts w:ascii="Gill Sans MT" w:hAnsi="Gill Sans MT"/>
        </w:rPr>
      </w:pPr>
      <w:r w:rsidRPr="002E08CD">
        <w:rPr>
          <w:rFonts w:ascii="Gill Sans MT" w:hAnsi="Gill Sans MT"/>
        </w:rPr>
        <w:t>Liver failure; OR</w:t>
      </w:r>
    </w:p>
    <w:p w:rsidR="00422458" w:rsidRPr="002E08CD" w:rsidRDefault="00422458" w:rsidP="00D1367E">
      <w:pPr>
        <w:pStyle w:val="ListParagraph"/>
        <w:numPr>
          <w:ilvl w:val="1"/>
          <w:numId w:val="8"/>
        </w:numPr>
        <w:jc w:val="both"/>
        <w:rPr>
          <w:rFonts w:ascii="Gill Sans MT" w:hAnsi="Gill Sans MT"/>
        </w:rPr>
      </w:pPr>
      <w:r>
        <w:rPr>
          <w:rFonts w:ascii="Gill Sans MT" w:hAnsi="Gill Sans MT"/>
        </w:rPr>
        <w:t>Positive pregnancy test; OR</w:t>
      </w:r>
    </w:p>
    <w:p w:rsidR="00AF6A2E" w:rsidRPr="002E08CD" w:rsidRDefault="00AF6A2E" w:rsidP="00D1367E">
      <w:pPr>
        <w:pStyle w:val="ListParagraph"/>
        <w:numPr>
          <w:ilvl w:val="1"/>
          <w:numId w:val="8"/>
        </w:numPr>
        <w:jc w:val="both"/>
        <w:rPr>
          <w:rFonts w:ascii="Gill Sans MT" w:hAnsi="Gill Sans MT"/>
        </w:rPr>
      </w:pPr>
      <w:r w:rsidRPr="002E08CD">
        <w:rPr>
          <w:rFonts w:ascii="Gill Sans MT" w:hAnsi="Gill Sans MT"/>
        </w:rPr>
        <w:t>Previous hypersensitivity to naltrexone, 75:25 polyactide-co-glycolide (PLG), carboxymethylcellulose or</w:t>
      </w:r>
      <w:r w:rsidR="000D5BD9" w:rsidRPr="002E08CD">
        <w:rPr>
          <w:rFonts w:ascii="Gill Sans MT" w:hAnsi="Gill Sans MT"/>
        </w:rPr>
        <w:t xml:space="preserve"> </w:t>
      </w:r>
      <w:r w:rsidRPr="002E08CD">
        <w:rPr>
          <w:rFonts w:ascii="Gill Sans MT" w:hAnsi="Gill Sans MT"/>
        </w:rPr>
        <w:t>any other component of the diluent.</w:t>
      </w:r>
    </w:p>
    <w:p w:rsidR="00AF6A2E" w:rsidRPr="000D5BD9" w:rsidRDefault="00AF6A2E" w:rsidP="00D1367E">
      <w:pPr>
        <w:jc w:val="both"/>
        <w:rPr>
          <w:rFonts w:ascii="Gill Sans MT" w:hAnsi="Gill Sans MT"/>
          <w:b/>
        </w:rPr>
      </w:pPr>
      <w:r w:rsidRPr="000D5BD9">
        <w:rPr>
          <w:rFonts w:ascii="Gill Sans MT" w:hAnsi="Gill Sans MT"/>
          <w:b/>
        </w:rPr>
        <w:t>Opioid Dependence</w:t>
      </w:r>
    </w:p>
    <w:p w:rsidR="00AA6516" w:rsidRDefault="00AA6516" w:rsidP="00D1367E">
      <w:pPr>
        <w:jc w:val="both"/>
        <w:rPr>
          <w:rFonts w:ascii="Gill Sans MT" w:hAnsi="Gill Sans MT"/>
        </w:rPr>
      </w:pPr>
      <w:r w:rsidRPr="00AA6516">
        <w:rPr>
          <w:rFonts w:ascii="Gill Sans MT" w:hAnsi="Gill Sans MT"/>
        </w:rPr>
        <w:t xml:space="preserve">Naltrexone is a non-opioid medication that is approved for the treatment of opioid dependence. Naltrexone is an opioid receptor antagonist; it binds to opioid receptors, but instead of activating the receptors, it effectively blocks them. Through this action, it prevents opioid receptors from being activated by agonist compounds, such as heroin or prescription pain killers, and is reported to reduce craving and prevent relapse. As opposed to other medications used for opioid dependence (methadone and buprenorphine), naltrexone can be prescribed by any individual who is licensed to prescribe medicine (e.g., physician, doctor of osteopathic medicine, physician assistant, and nurse practitioner). Both the oral daily </w:t>
      </w:r>
      <w:r w:rsidRPr="00AA6516">
        <w:rPr>
          <w:rFonts w:ascii="Gill Sans MT" w:hAnsi="Gill Sans MT"/>
        </w:rPr>
        <w:lastRenderedPageBreak/>
        <w:t xml:space="preserve">form and the monthly injectable monthly extended-release form (Vivitrol®) are FDA approved for treatment of opioid dependence. Vivitrol® was approved by FDA for this indication in 2010. </w:t>
      </w:r>
    </w:p>
    <w:p w:rsidR="00AF6A2E" w:rsidRPr="00AF6A2E" w:rsidRDefault="00AF6A2E" w:rsidP="00D1367E">
      <w:pPr>
        <w:jc w:val="both"/>
        <w:rPr>
          <w:rFonts w:ascii="Gill Sans MT" w:hAnsi="Gill Sans MT"/>
        </w:rPr>
      </w:pPr>
      <w:r w:rsidRPr="00AF6A2E">
        <w:rPr>
          <w:rFonts w:ascii="Gill Sans MT" w:hAnsi="Gill Sans MT"/>
        </w:rPr>
        <w:t>Injectable naltrexone (Vivitrol) is considered medically necessary for the prevention of relaps</w:t>
      </w:r>
      <w:r w:rsidR="005A6293">
        <w:rPr>
          <w:rFonts w:ascii="Gill Sans MT" w:hAnsi="Gill Sans MT"/>
        </w:rPr>
        <w:t xml:space="preserve">e to opioid dependence </w:t>
      </w:r>
      <w:r w:rsidRPr="00AF6A2E">
        <w:rPr>
          <w:rFonts w:ascii="Gill Sans MT" w:hAnsi="Gill Sans MT"/>
        </w:rPr>
        <w:t>following detoxification when the individual:</w:t>
      </w:r>
    </w:p>
    <w:p w:rsidR="000D5BD9" w:rsidRDefault="00AF6A2E" w:rsidP="00D1367E">
      <w:pPr>
        <w:pStyle w:val="ListParagraph"/>
        <w:numPr>
          <w:ilvl w:val="0"/>
          <w:numId w:val="9"/>
        </w:numPr>
        <w:jc w:val="both"/>
        <w:rPr>
          <w:rFonts w:ascii="Gill Sans MT" w:hAnsi="Gill Sans MT"/>
        </w:rPr>
      </w:pPr>
      <w:r w:rsidRPr="000D5BD9">
        <w:rPr>
          <w:rFonts w:ascii="Gill Sans MT" w:hAnsi="Gill Sans MT"/>
        </w:rPr>
        <w:t>Is being treated for opioid dependence; AND</w:t>
      </w:r>
    </w:p>
    <w:p w:rsidR="000D5BD9" w:rsidRDefault="00AF6A2E" w:rsidP="00D1367E">
      <w:pPr>
        <w:pStyle w:val="ListParagraph"/>
        <w:numPr>
          <w:ilvl w:val="0"/>
          <w:numId w:val="9"/>
        </w:numPr>
        <w:jc w:val="both"/>
        <w:rPr>
          <w:rFonts w:ascii="Gill Sans MT" w:hAnsi="Gill Sans MT"/>
        </w:rPr>
      </w:pPr>
      <w:r w:rsidRPr="000D5BD9">
        <w:rPr>
          <w:rFonts w:ascii="Gill Sans MT" w:hAnsi="Gill Sans MT"/>
        </w:rPr>
        <w:t>Has successfully completed an opioid detoxification program; AND</w:t>
      </w:r>
    </w:p>
    <w:p w:rsidR="000D5BD9" w:rsidRDefault="00AF6A2E" w:rsidP="00D1367E">
      <w:pPr>
        <w:pStyle w:val="ListParagraph"/>
        <w:numPr>
          <w:ilvl w:val="0"/>
          <w:numId w:val="9"/>
        </w:numPr>
        <w:jc w:val="both"/>
        <w:rPr>
          <w:rFonts w:ascii="Gill Sans MT" w:hAnsi="Gill Sans MT"/>
        </w:rPr>
      </w:pPr>
      <w:r w:rsidRPr="000D5BD9">
        <w:rPr>
          <w:rFonts w:ascii="Gill Sans MT" w:hAnsi="Gill Sans MT"/>
        </w:rPr>
        <w:t xml:space="preserve">Has been opioid-free (including buprenorphine and methadone) for at least </w:t>
      </w:r>
      <w:r w:rsidR="00422458">
        <w:rPr>
          <w:rFonts w:ascii="Gill Sans MT" w:hAnsi="Gill Sans MT"/>
        </w:rPr>
        <w:t>4</w:t>
      </w:r>
      <w:r w:rsidRPr="000D5BD9">
        <w:rPr>
          <w:rFonts w:ascii="Gill Sans MT" w:hAnsi="Gill Sans MT"/>
        </w:rPr>
        <w:t xml:space="preserve"> da</w:t>
      </w:r>
      <w:r w:rsidR="000D5BD9">
        <w:rPr>
          <w:rFonts w:ascii="Gill Sans MT" w:hAnsi="Gill Sans MT"/>
        </w:rPr>
        <w:t xml:space="preserve">ys prior to initiating </w:t>
      </w:r>
      <w:r w:rsidR="003E618B">
        <w:rPr>
          <w:rFonts w:ascii="Gill Sans MT" w:hAnsi="Gill Sans MT"/>
        </w:rPr>
        <w:t>treatment</w:t>
      </w:r>
      <w:r w:rsidR="000D5BD9">
        <w:rPr>
          <w:rFonts w:ascii="Gill Sans MT" w:hAnsi="Gill Sans MT"/>
        </w:rPr>
        <w:t xml:space="preserve"> </w:t>
      </w:r>
      <w:r w:rsidRPr="000D5BD9">
        <w:rPr>
          <w:rFonts w:ascii="Gill Sans MT" w:hAnsi="Gill Sans MT"/>
        </w:rPr>
        <w:t>with naltr</w:t>
      </w:r>
      <w:r w:rsidR="000D5BD9">
        <w:rPr>
          <w:rFonts w:ascii="Gill Sans MT" w:hAnsi="Gill Sans MT"/>
        </w:rPr>
        <w:t>exone (Vivitrol) injection; AND</w:t>
      </w:r>
    </w:p>
    <w:p w:rsidR="000D5BD9" w:rsidRPr="005A6293" w:rsidRDefault="00AF6A2E" w:rsidP="00D1367E">
      <w:pPr>
        <w:pStyle w:val="ListParagraph"/>
        <w:numPr>
          <w:ilvl w:val="0"/>
          <w:numId w:val="9"/>
        </w:numPr>
        <w:jc w:val="both"/>
        <w:rPr>
          <w:rFonts w:ascii="Gill Sans MT" w:hAnsi="Gill Sans MT"/>
        </w:rPr>
      </w:pPr>
      <w:r w:rsidRPr="000D5BD9">
        <w:rPr>
          <w:rFonts w:ascii="Gill Sans MT" w:hAnsi="Gill Sans MT"/>
        </w:rPr>
        <w:t>Actively participates in a comprehensive rehabilitation program that includes psychosocial support; AND</w:t>
      </w:r>
    </w:p>
    <w:p w:rsidR="000D5BD9" w:rsidRDefault="00AF6A2E" w:rsidP="00D1367E">
      <w:pPr>
        <w:pStyle w:val="ListParagraph"/>
        <w:numPr>
          <w:ilvl w:val="0"/>
          <w:numId w:val="9"/>
        </w:numPr>
        <w:jc w:val="both"/>
        <w:rPr>
          <w:rFonts w:ascii="Gill Sans MT" w:hAnsi="Gill Sans MT"/>
        </w:rPr>
      </w:pPr>
      <w:r w:rsidRPr="000D5BD9">
        <w:rPr>
          <w:rFonts w:ascii="Gill Sans MT" w:hAnsi="Gill Sans MT"/>
        </w:rPr>
        <w:t>Is not:</w:t>
      </w:r>
    </w:p>
    <w:p w:rsidR="000D5BD9" w:rsidRDefault="00AF6A2E" w:rsidP="00D1367E">
      <w:pPr>
        <w:pStyle w:val="ListParagraph"/>
        <w:numPr>
          <w:ilvl w:val="1"/>
          <w:numId w:val="9"/>
        </w:numPr>
        <w:jc w:val="both"/>
        <w:rPr>
          <w:rFonts w:ascii="Gill Sans MT" w:hAnsi="Gill Sans MT"/>
        </w:rPr>
      </w:pPr>
      <w:r w:rsidRPr="000D5BD9">
        <w:rPr>
          <w:rFonts w:ascii="Gill Sans MT" w:hAnsi="Gill Sans MT"/>
        </w:rPr>
        <w:t>Currently on opioid analgesics for pain management; OR</w:t>
      </w:r>
    </w:p>
    <w:p w:rsidR="000D5BD9" w:rsidRDefault="00AF6A2E" w:rsidP="00D1367E">
      <w:pPr>
        <w:pStyle w:val="ListParagraph"/>
        <w:numPr>
          <w:ilvl w:val="1"/>
          <w:numId w:val="9"/>
        </w:numPr>
        <w:jc w:val="both"/>
        <w:rPr>
          <w:rFonts w:ascii="Gill Sans MT" w:hAnsi="Gill Sans MT"/>
        </w:rPr>
      </w:pPr>
      <w:r w:rsidRPr="000D5BD9">
        <w:rPr>
          <w:rFonts w:ascii="Gill Sans MT" w:hAnsi="Gill Sans MT"/>
        </w:rPr>
        <w:t>Currently in acute opioid withdrawal; AND</w:t>
      </w:r>
    </w:p>
    <w:p w:rsidR="000D5BD9" w:rsidRDefault="00AF6A2E" w:rsidP="00D1367E">
      <w:pPr>
        <w:pStyle w:val="ListParagraph"/>
        <w:numPr>
          <w:ilvl w:val="0"/>
          <w:numId w:val="9"/>
        </w:numPr>
        <w:jc w:val="both"/>
        <w:rPr>
          <w:rFonts w:ascii="Gill Sans MT" w:hAnsi="Gill Sans MT"/>
        </w:rPr>
      </w:pPr>
      <w:r w:rsidRPr="000D5BD9">
        <w:rPr>
          <w:rFonts w:ascii="Gill Sans MT" w:hAnsi="Gill Sans MT"/>
        </w:rPr>
        <w:t>Does not have:</w:t>
      </w:r>
    </w:p>
    <w:p w:rsidR="000D5BD9" w:rsidRDefault="00AF6A2E" w:rsidP="00D1367E">
      <w:pPr>
        <w:pStyle w:val="ListParagraph"/>
        <w:numPr>
          <w:ilvl w:val="1"/>
          <w:numId w:val="9"/>
        </w:numPr>
        <w:jc w:val="both"/>
        <w:rPr>
          <w:rFonts w:ascii="Gill Sans MT" w:hAnsi="Gill Sans MT"/>
        </w:rPr>
      </w:pPr>
      <w:r w:rsidRPr="000D5BD9">
        <w:rPr>
          <w:rFonts w:ascii="Gill Sans MT" w:hAnsi="Gill Sans MT"/>
        </w:rPr>
        <w:t>A positive urine screen for opioids; OR</w:t>
      </w:r>
    </w:p>
    <w:p w:rsidR="000D5BD9" w:rsidRDefault="00AF6A2E" w:rsidP="00D1367E">
      <w:pPr>
        <w:pStyle w:val="ListParagraph"/>
        <w:numPr>
          <w:ilvl w:val="1"/>
          <w:numId w:val="9"/>
        </w:numPr>
        <w:jc w:val="both"/>
        <w:rPr>
          <w:rFonts w:ascii="Gill Sans MT" w:hAnsi="Gill Sans MT"/>
        </w:rPr>
      </w:pPr>
      <w:r w:rsidRPr="000D5BD9">
        <w:rPr>
          <w:rFonts w:ascii="Gill Sans MT" w:hAnsi="Gill Sans MT"/>
        </w:rPr>
        <w:t>A failed naloxone challenge test; OR</w:t>
      </w:r>
    </w:p>
    <w:p w:rsidR="000D5BD9" w:rsidRDefault="00AF6A2E" w:rsidP="00D1367E">
      <w:pPr>
        <w:pStyle w:val="ListParagraph"/>
        <w:numPr>
          <w:ilvl w:val="1"/>
          <w:numId w:val="9"/>
        </w:numPr>
        <w:jc w:val="both"/>
        <w:rPr>
          <w:rFonts w:ascii="Gill Sans MT" w:hAnsi="Gill Sans MT"/>
        </w:rPr>
      </w:pPr>
      <w:r w:rsidRPr="000D5BD9">
        <w:rPr>
          <w:rFonts w:ascii="Gill Sans MT" w:hAnsi="Gill Sans MT"/>
        </w:rPr>
        <w:t>Acute hepatitis; OR</w:t>
      </w:r>
    </w:p>
    <w:p w:rsidR="000D5BD9" w:rsidRDefault="00AF6A2E" w:rsidP="00D1367E">
      <w:pPr>
        <w:pStyle w:val="ListParagraph"/>
        <w:numPr>
          <w:ilvl w:val="1"/>
          <w:numId w:val="9"/>
        </w:numPr>
        <w:jc w:val="both"/>
        <w:rPr>
          <w:rFonts w:ascii="Gill Sans MT" w:hAnsi="Gill Sans MT"/>
        </w:rPr>
      </w:pPr>
      <w:r w:rsidRPr="000D5BD9">
        <w:rPr>
          <w:rFonts w:ascii="Gill Sans MT" w:hAnsi="Gill Sans MT"/>
        </w:rPr>
        <w:t>Liver failure; OR</w:t>
      </w:r>
    </w:p>
    <w:p w:rsidR="00422458" w:rsidRDefault="00422458" w:rsidP="00D1367E">
      <w:pPr>
        <w:pStyle w:val="ListParagraph"/>
        <w:numPr>
          <w:ilvl w:val="1"/>
          <w:numId w:val="9"/>
        </w:numPr>
        <w:jc w:val="both"/>
        <w:rPr>
          <w:rFonts w:ascii="Gill Sans MT" w:hAnsi="Gill Sans MT"/>
        </w:rPr>
      </w:pPr>
      <w:r>
        <w:rPr>
          <w:rFonts w:ascii="Gill Sans MT" w:hAnsi="Gill Sans MT"/>
        </w:rPr>
        <w:t>Positive pregnancy test; OR</w:t>
      </w:r>
    </w:p>
    <w:p w:rsidR="00AF6A2E" w:rsidRPr="00C06E50" w:rsidRDefault="00AF6A2E" w:rsidP="00D1367E">
      <w:pPr>
        <w:pStyle w:val="ListParagraph"/>
        <w:numPr>
          <w:ilvl w:val="1"/>
          <w:numId w:val="9"/>
        </w:numPr>
        <w:jc w:val="both"/>
        <w:rPr>
          <w:rFonts w:ascii="Gill Sans MT" w:hAnsi="Gill Sans MT"/>
        </w:rPr>
      </w:pPr>
      <w:r w:rsidRPr="00C06E50">
        <w:rPr>
          <w:rFonts w:ascii="Gill Sans MT" w:hAnsi="Gill Sans MT"/>
        </w:rPr>
        <w:t>Previous hypersensitivity to naltrexone, 75:25 polyactide-co-glycolide (PLG), carboxymethylcellulose or</w:t>
      </w:r>
      <w:r w:rsidR="000D5BD9" w:rsidRPr="00C06E50">
        <w:rPr>
          <w:rFonts w:ascii="Gill Sans MT" w:hAnsi="Gill Sans MT"/>
        </w:rPr>
        <w:t xml:space="preserve"> </w:t>
      </w:r>
      <w:r w:rsidRPr="00C06E50">
        <w:rPr>
          <w:rFonts w:ascii="Gill Sans MT" w:hAnsi="Gill Sans MT"/>
        </w:rPr>
        <w:t>any other component of the diluent.</w:t>
      </w:r>
    </w:p>
    <w:p w:rsidR="00AF6A2E" w:rsidRPr="00C06E50" w:rsidRDefault="000D5BD9" w:rsidP="00D1367E">
      <w:pPr>
        <w:jc w:val="both"/>
        <w:rPr>
          <w:rFonts w:ascii="Gill Sans MT" w:hAnsi="Gill Sans MT"/>
          <w:b/>
        </w:rPr>
      </w:pPr>
      <w:r w:rsidRPr="00C06E50">
        <w:rPr>
          <w:rFonts w:ascii="Gill Sans MT" w:hAnsi="Gill Sans MT"/>
          <w:b/>
        </w:rPr>
        <w:t>No Clinical In</w:t>
      </w:r>
      <w:r w:rsidR="005A6293" w:rsidRPr="00C06E50">
        <w:rPr>
          <w:rFonts w:ascii="Gill Sans MT" w:hAnsi="Gill Sans MT"/>
          <w:b/>
        </w:rPr>
        <w:t>dication</w:t>
      </w:r>
      <w:r w:rsidRPr="00C06E50">
        <w:rPr>
          <w:rFonts w:ascii="Gill Sans MT" w:hAnsi="Gill Sans MT"/>
          <w:b/>
        </w:rPr>
        <w:t>/Not Medically Necessary</w:t>
      </w:r>
    </w:p>
    <w:p w:rsidR="00AF6A2E" w:rsidRPr="00C06E50" w:rsidRDefault="00AF6A2E" w:rsidP="00D1367E">
      <w:pPr>
        <w:jc w:val="both"/>
        <w:rPr>
          <w:rFonts w:ascii="Gill Sans MT" w:hAnsi="Gill Sans MT"/>
        </w:rPr>
      </w:pPr>
      <w:r w:rsidRPr="00C06E50">
        <w:rPr>
          <w:rFonts w:ascii="Gill Sans MT" w:hAnsi="Gill Sans MT"/>
        </w:rPr>
        <w:t xml:space="preserve">Injectable naltrexone (Vivitrol) is considered not medically necessary for the treatment </w:t>
      </w:r>
      <w:r w:rsidR="005A6293" w:rsidRPr="00C06E50">
        <w:rPr>
          <w:rFonts w:ascii="Gill Sans MT" w:hAnsi="Gill Sans MT"/>
        </w:rPr>
        <w:t xml:space="preserve">of alcohol dependence or opioid </w:t>
      </w:r>
      <w:r w:rsidRPr="00C06E50">
        <w:rPr>
          <w:rFonts w:ascii="Gill Sans MT" w:hAnsi="Gill Sans MT"/>
        </w:rPr>
        <w:t>dependence when the criteria above are not met.</w:t>
      </w:r>
      <w:r w:rsidR="000D5BD9" w:rsidRPr="00C06E50">
        <w:rPr>
          <w:rFonts w:ascii="Gill Sans MT" w:hAnsi="Gill Sans MT"/>
        </w:rPr>
        <w:t xml:space="preserve"> Injectable naltrexone (Vivitrol) is considered not medically necessary for the treatment of diagnoses other than alcohol dependence and opioid dependence</w:t>
      </w:r>
    </w:p>
    <w:p w:rsidR="00C06E50" w:rsidRPr="00C06E50" w:rsidRDefault="00C06E50" w:rsidP="00D1367E">
      <w:pPr>
        <w:jc w:val="both"/>
        <w:rPr>
          <w:rFonts w:ascii="Gill Sans MT" w:hAnsi="Gill Sans MT"/>
          <w:b/>
        </w:rPr>
      </w:pPr>
      <w:r w:rsidRPr="00C06E50">
        <w:rPr>
          <w:rFonts w:ascii="Gill Sans MT" w:hAnsi="Gill Sans MT"/>
          <w:b/>
        </w:rPr>
        <w:t>CLINICAL ASSESSMENT</w:t>
      </w:r>
    </w:p>
    <w:p w:rsidR="00C06E50" w:rsidRPr="00C06E50" w:rsidRDefault="00C06E50" w:rsidP="00D1367E">
      <w:pPr>
        <w:contextualSpacing/>
        <w:jc w:val="both"/>
        <w:rPr>
          <w:rFonts w:ascii="Gill Sans MT" w:hAnsi="Gill Sans MT"/>
        </w:rPr>
      </w:pPr>
      <w:r w:rsidRPr="00C06E50">
        <w:rPr>
          <w:rFonts w:ascii="Gill Sans MT" w:hAnsi="Gill Sans MT"/>
        </w:rPr>
        <w:t>Consensus opinion is that an assessment should include a medical and psychiatric history, a substance use history, and an evaluation of family and psychosocial supports</w:t>
      </w:r>
      <w:r w:rsidR="00CD111E">
        <w:rPr>
          <w:rFonts w:ascii="Gill Sans MT" w:hAnsi="Gill Sans MT"/>
        </w:rPr>
        <w:t xml:space="preserve">. </w:t>
      </w:r>
      <w:r w:rsidR="00B02A9C">
        <w:rPr>
          <w:rFonts w:ascii="Gill Sans MT" w:hAnsi="Gill Sans MT"/>
        </w:rPr>
        <w:t>A</w:t>
      </w:r>
      <w:r w:rsidR="00CD111E">
        <w:rPr>
          <w:rFonts w:ascii="Gill Sans MT" w:hAnsi="Gill Sans MT"/>
        </w:rPr>
        <w:t>ssess</w:t>
      </w:r>
      <w:r w:rsidR="00B02A9C">
        <w:rPr>
          <w:rFonts w:ascii="Gill Sans MT" w:hAnsi="Gill Sans MT"/>
        </w:rPr>
        <w:t xml:space="preserve"> the client </w:t>
      </w:r>
      <w:r w:rsidR="00CD111E">
        <w:rPr>
          <w:rFonts w:ascii="Gill Sans MT" w:hAnsi="Gill Sans MT"/>
        </w:rPr>
        <w:t>f</w:t>
      </w:r>
      <w:r w:rsidRPr="00C06E50">
        <w:rPr>
          <w:rFonts w:ascii="Gill Sans MT" w:hAnsi="Gill Sans MT"/>
        </w:rPr>
        <w:t xml:space="preserve">or </w:t>
      </w:r>
      <w:r w:rsidR="00CD111E">
        <w:rPr>
          <w:rFonts w:ascii="Gill Sans MT" w:hAnsi="Gill Sans MT"/>
        </w:rPr>
        <w:t>the following b</w:t>
      </w:r>
      <w:r w:rsidR="00CD111E" w:rsidRPr="00C06E50">
        <w:rPr>
          <w:rFonts w:ascii="Gill Sans MT" w:hAnsi="Gill Sans MT"/>
        </w:rPr>
        <w:t>efore Vivitrol is prescribed or administered</w:t>
      </w:r>
      <w:r w:rsidR="00CD111E">
        <w:rPr>
          <w:rFonts w:ascii="Gill Sans MT" w:hAnsi="Gill Sans MT"/>
        </w:rPr>
        <w:t>.</w:t>
      </w:r>
    </w:p>
    <w:p w:rsidR="00C06E50" w:rsidRPr="00C06E50" w:rsidRDefault="00C06E50" w:rsidP="00D1367E">
      <w:pPr>
        <w:contextualSpacing/>
        <w:jc w:val="both"/>
        <w:rPr>
          <w:rFonts w:ascii="Gill Sans MT" w:hAnsi="Gill Sans MT"/>
        </w:rPr>
      </w:pPr>
    </w:p>
    <w:p w:rsidR="00C06E50" w:rsidRPr="00C06E50" w:rsidRDefault="00C06E50" w:rsidP="00D1367E">
      <w:pPr>
        <w:contextualSpacing/>
        <w:jc w:val="both"/>
        <w:rPr>
          <w:rFonts w:ascii="Gill Sans MT" w:hAnsi="Gill Sans MT"/>
          <w:b/>
        </w:rPr>
      </w:pPr>
      <w:r w:rsidRPr="00C06E50">
        <w:rPr>
          <w:rFonts w:ascii="Gill Sans MT" w:hAnsi="Gill Sans MT"/>
          <w:b/>
        </w:rPr>
        <w:t>Clinical History</w:t>
      </w:r>
    </w:p>
    <w:p w:rsidR="00C06E50" w:rsidRPr="00C06E50" w:rsidRDefault="00726874" w:rsidP="00D1367E">
      <w:pPr>
        <w:numPr>
          <w:ilvl w:val="0"/>
          <w:numId w:val="13"/>
        </w:numPr>
        <w:contextualSpacing/>
        <w:jc w:val="both"/>
        <w:rPr>
          <w:rFonts w:ascii="Gill Sans MT" w:hAnsi="Gill Sans MT"/>
        </w:rPr>
      </w:pPr>
      <w:r w:rsidRPr="00C06E50">
        <w:rPr>
          <w:rFonts w:ascii="Gill Sans MT" w:hAnsi="Gill Sans MT"/>
        </w:rPr>
        <w:t>L</w:t>
      </w:r>
      <w:r w:rsidR="00C06E50" w:rsidRPr="00C06E50">
        <w:rPr>
          <w:rFonts w:ascii="Gill Sans MT" w:hAnsi="Gill Sans MT"/>
        </w:rPr>
        <w:t>iver problems</w:t>
      </w:r>
    </w:p>
    <w:p w:rsidR="00C06E50" w:rsidRPr="00C06E50" w:rsidRDefault="00C06E50" w:rsidP="00D1367E">
      <w:pPr>
        <w:numPr>
          <w:ilvl w:val="0"/>
          <w:numId w:val="13"/>
        </w:numPr>
        <w:contextualSpacing/>
        <w:jc w:val="both"/>
        <w:rPr>
          <w:rFonts w:ascii="Gill Sans MT" w:hAnsi="Gill Sans MT"/>
        </w:rPr>
      </w:pPr>
      <w:r w:rsidRPr="00C06E50">
        <w:rPr>
          <w:rFonts w:ascii="Gill Sans MT" w:hAnsi="Gill Sans MT"/>
        </w:rPr>
        <w:t>U</w:t>
      </w:r>
      <w:r w:rsidR="00726874" w:rsidRPr="00C06E50">
        <w:rPr>
          <w:rFonts w:ascii="Gill Sans MT" w:hAnsi="Gill Sans MT"/>
        </w:rPr>
        <w:t>se or abuse street (illegal) drugs</w:t>
      </w:r>
    </w:p>
    <w:p w:rsidR="00C06E50" w:rsidRPr="00C06E50" w:rsidRDefault="00C06E50" w:rsidP="00D1367E">
      <w:pPr>
        <w:numPr>
          <w:ilvl w:val="0"/>
          <w:numId w:val="13"/>
        </w:numPr>
        <w:contextualSpacing/>
        <w:jc w:val="both"/>
        <w:rPr>
          <w:rFonts w:ascii="Gill Sans MT" w:hAnsi="Gill Sans MT"/>
        </w:rPr>
      </w:pPr>
      <w:r w:rsidRPr="00C06E50">
        <w:rPr>
          <w:rFonts w:ascii="Gill Sans MT" w:hAnsi="Gill Sans MT"/>
        </w:rPr>
        <w:t>He</w:t>
      </w:r>
      <w:r w:rsidR="00726874" w:rsidRPr="00C06E50">
        <w:rPr>
          <w:rFonts w:ascii="Gill Sans MT" w:hAnsi="Gill Sans MT"/>
        </w:rPr>
        <w:t>mop</w:t>
      </w:r>
      <w:r w:rsidRPr="00C06E50">
        <w:rPr>
          <w:rFonts w:ascii="Gill Sans MT" w:hAnsi="Gill Sans MT"/>
        </w:rPr>
        <w:t>hilia or other bleeding problems</w:t>
      </w:r>
    </w:p>
    <w:p w:rsidR="00C06E50" w:rsidRPr="00C06E50" w:rsidRDefault="00C06E50" w:rsidP="00D1367E">
      <w:pPr>
        <w:numPr>
          <w:ilvl w:val="0"/>
          <w:numId w:val="13"/>
        </w:numPr>
        <w:contextualSpacing/>
        <w:jc w:val="both"/>
        <w:rPr>
          <w:rFonts w:ascii="Gill Sans MT" w:hAnsi="Gill Sans MT"/>
        </w:rPr>
      </w:pPr>
      <w:r w:rsidRPr="00C06E50">
        <w:rPr>
          <w:rFonts w:ascii="Gill Sans MT" w:hAnsi="Gill Sans MT"/>
        </w:rPr>
        <w:t>K</w:t>
      </w:r>
      <w:r w:rsidR="00726874" w:rsidRPr="00C06E50">
        <w:rPr>
          <w:rFonts w:ascii="Gill Sans MT" w:hAnsi="Gill Sans MT"/>
        </w:rPr>
        <w:t>idney problems</w:t>
      </w:r>
    </w:p>
    <w:p w:rsidR="00C06E50" w:rsidRPr="00C06E50" w:rsidRDefault="00C06E50" w:rsidP="00D1367E">
      <w:pPr>
        <w:numPr>
          <w:ilvl w:val="0"/>
          <w:numId w:val="13"/>
        </w:numPr>
        <w:contextualSpacing/>
        <w:jc w:val="both"/>
        <w:rPr>
          <w:rFonts w:ascii="Gill Sans MT" w:hAnsi="Gill Sans MT"/>
        </w:rPr>
      </w:pPr>
      <w:r w:rsidRPr="00C06E50">
        <w:rPr>
          <w:rFonts w:ascii="Gill Sans MT" w:hAnsi="Gill Sans MT"/>
        </w:rPr>
        <w:t>O</w:t>
      </w:r>
      <w:r w:rsidR="00726874" w:rsidRPr="00C06E50">
        <w:rPr>
          <w:rFonts w:ascii="Gill Sans MT" w:hAnsi="Gill Sans MT"/>
        </w:rPr>
        <w:t>ther medical conditions</w:t>
      </w:r>
    </w:p>
    <w:p w:rsidR="00C06E50" w:rsidRPr="00C06E50" w:rsidRDefault="00C06E50" w:rsidP="00D1367E">
      <w:pPr>
        <w:numPr>
          <w:ilvl w:val="0"/>
          <w:numId w:val="13"/>
        </w:numPr>
        <w:contextualSpacing/>
        <w:jc w:val="both"/>
        <w:rPr>
          <w:rFonts w:ascii="Gill Sans MT" w:hAnsi="Gill Sans MT"/>
        </w:rPr>
      </w:pPr>
      <w:r w:rsidRPr="00C06E50">
        <w:rPr>
          <w:rFonts w:ascii="Gill Sans MT" w:hAnsi="Gill Sans MT"/>
        </w:rPr>
        <w:t>P</w:t>
      </w:r>
      <w:r w:rsidR="00726874" w:rsidRPr="00C06E50">
        <w:rPr>
          <w:rFonts w:ascii="Gill Sans MT" w:hAnsi="Gill Sans MT"/>
        </w:rPr>
        <w:t xml:space="preserve">regnant or plan to become pregnant. It is not known if </w:t>
      </w:r>
      <w:r w:rsidRPr="00C06E50">
        <w:rPr>
          <w:rFonts w:ascii="Gill Sans MT" w:hAnsi="Gill Sans MT"/>
        </w:rPr>
        <w:t xml:space="preserve">Vivitrol will </w:t>
      </w:r>
      <w:r w:rsidR="00726874" w:rsidRPr="00C06E50">
        <w:rPr>
          <w:rFonts w:ascii="Gill Sans MT" w:hAnsi="Gill Sans MT"/>
        </w:rPr>
        <w:t>harm unborn baby.</w:t>
      </w:r>
    </w:p>
    <w:p w:rsidR="00C06E50" w:rsidRDefault="00C06E50" w:rsidP="00D1367E">
      <w:pPr>
        <w:numPr>
          <w:ilvl w:val="0"/>
          <w:numId w:val="13"/>
        </w:numPr>
        <w:contextualSpacing/>
        <w:jc w:val="both"/>
        <w:rPr>
          <w:rFonts w:ascii="Gill Sans MT" w:hAnsi="Gill Sans MT"/>
        </w:rPr>
      </w:pPr>
      <w:r w:rsidRPr="0058285A">
        <w:rPr>
          <w:rFonts w:ascii="Gill Sans MT" w:hAnsi="Gill Sans MT"/>
        </w:rPr>
        <w:t>I</w:t>
      </w:r>
      <w:r w:rsidR="00726874" w:rsidRPr="0058285A">
        <w:rPr>
          <w:rFonts w:ascii="Gill Sans MT" w:hAnsi="Gill Sans MT"/>
        </w:rPr>
        <w:t xml:space="preserve">t is not known if </w:t>
      </w:r>
      <w:r w:rsidRPr="0058285A">
        <w:rPr>
          <w:rFonts w:ascii="Gill Sans MT" w:hAnsi="Gill Sans MT"/>
        </w:rPr>
        <w:t xml:space="preserve">Vivitrol </w:t>
      </w:r>
      <w:r w:rsidR="00726874" w:rsidRPr="0058285A">
        <w:rPr>
          <w:rFonts w:ascii="Gill Sans MT" w:hAnsi="Gill Sans MT"/>
        </w:rPr>
        <w:t xml:space="preserve">passes into </w:t>
      </w:r>
      <w:r w:rsidRPr="0058285A">
        <w:rPr>
          <w:rFonts w:ascii="Gill Sans MT" w:hAnsi="Gill Sans MT"/>
        </w:rPr>
        <w:t xml:space="preserve">breastmilk </w:t>
      </w:r>
      <w:r w:rsidR="00726874" w:rsidRPr="0058285A">
        <w:rPr>
          <w:rFonts w:ascii="Gill Sans MT" w:hAnsi="Gill Sans MT"/>
        </w:rPr>
        <w:t xml:space="preserve">and if it can harm </w:t>
      </w:r>
      <w:r w:rsidR="004F490F" w:rsidRPr="0058285A">
        <w:rPr>
          <w:rFonts w:ascii="Gill Sans MT" w:hAnsi="Gill Sans MT"/>
        </w:rPr>
        <w:t xml:space="preserve">the </w:t>
      </w:r>
      <w:r w:rsidR="00726874" w:rsidRPr="0058285A">
        <w:rPr>
          <w:rFonts w:ascii="Gill Sans MT" w:hAnsi="Gill Sans MT"/>
        </w:rPr>
        <w:t>baby.</w:t>
      </w:r>
      <w:r w:rsidRPr="0058285A">
        <w:rPr>
          <w:rFonts w:ascii="Gill Sans MT" w:hAnsi="Gill Sans MT"/>
        </w:rPr>
        <w:t xml:space="preserve"> </w:t>
      </w:r>
      <w:r w:rsidR="0058285A" w:rsidRPr="0058285A">
        <w:rPr>
          <w:rFonts w:ascii="Gill Sans MT" w:hAnsi="Gill Sans MT"/>
        </w:rPr>
        <w:t>Naltrexone (Vivitrol) is considered L1 (safest category)</w:t>
      </w:r>
      <w:r w:rsidR="0076077E">
        <w:rPr>
          <w:rFonts w:ascii="Gill Sans MT" w:hAnsi="Gill Sans MT"/>
        </w:rPr>
        <w:t xml:space="preserve"> for lact</w:t>
      </w:r>
      <w:r w:rsidR="00832965">
        <w:rPr>
          <w:rFonts w:ascii="Gill Sans MT" w:hAnsi="Gill Sans MT"/>
        </w:rPr>
        <w:t xml:space="preserve">ation. While the manufacturers </w:t>
      </w:r>
      <w:r w:rsidR="0076077E">
        <w:rPr>
          <w:rFonts w:ascii="Gill Sans MT" w:hAnsi="Gill Sans MT"/>
        </w:rPr>
        <w:t xml:space="preserve">of Vivitrol do not recommend its use in pregnancy it is up to the clinical judgment of the provider and should be discussed with the client and informed consent obtained.  If small amounts of Naltrexone are passed into the breastmilk, it should not cause any ill effects on the infant if the infant is not being administered opiates.  </w:t>
      </w:r>
    </w:p>
    <w:p w:rsidR="008B7944" w:rsidRPr="0058285A" w:rsidRDefault="008B7944" w:rsidP="00D1367E">
      <w:pPr>
        <w:ind w:left="720"/>
        <w:contextualSpacing/>
        <w:jc w:val="both"/>
        <w:rPr>
          <w:rFonts w:ascii="Gill Sans MT" w:hAnsi="Gill Sans MT"/>
        </w:rPr>
      </w:pPr>
    </w:p>
    <w:p w:rsidR="008B7944" w:rsidRDefault="00C06E50" w:rsidP="00D1367E">
      <w:pPr>
        <w:contextualSpacing/>
        <w:jc w:val="both"/>
        <w:rPr>
          <w:rFonts w:ascii="Gill Sans MT" w:hAnsi="Gill Sans MT"/>
          <w:b/>
        </w:rPr>
      </w:pPr>
      <w:r w:rsidRPr="00C06E50">
        <w:rPr>
          <w:rFonts w:ascii="Gill Sans MT" w:hAnsi="Gill Sans MT"/>
          <w:b/>
        </w:rPr>
        <w:t>Laboratory Tests</w:t>
      </w:r>
    </w:p>
    <w:p w:rsidR="00422458" w:rsidRDefault="00422458" w:rsidP="00D1367E">
      <w:pPr>
        <w:pStyle w:val="ListParagraph"/>
        <w:numPr>
          <w:ilvl w:val="0"/>
          <w:numId w:val="18"/>
        </w:numPr>
        <w:jc w:val="both"/>
        <w:rPr>
          <w:rFonts w:ascii="Gill Sans MT" w:hAnsi="Gill Sans MT"/>
        </w:rPr>
      </w:pPr>
      <w:r>
        <w:rPr>
          <w:rFonts w:ascii="Gill Sans MT" w:hAnsi="Gill Sans MT"/>
        </w:rPr>
        <w:t xml:space="preserve">Initial Injection: urinalysis required and prescribing provider can initiate treatment based on clinical judgment. </w:t>
      </w:r>
    </w:p>
    <w:p w:rsidR="00C06E50" w:rsidRPr="000B1050" w:rsidRDefault="00422458" w:rsidP="00D1367E">
      <w:pPr>
        <w:pStyle w:val="ListParagraph"/>
        <w:numPr>
          <w:ilvl w:val="0"/>
          <w:numId w:val="18"/>
        </w:numPr>
        <w:jc w:val="both"/>
        <w:rPr>
          <w:rFonts w:ascii="Gill Sans MT" w:hAnsi="Gill Sans MT"/>
        </w:rPr>
      </w:pPr>
      <w:r>
        <w:rPr>
          <w:rFonts w:ascii="Gill Sans MT" w:hAnsi="Gill Sans MT"/>
        </w:rPr>
        <w:t>Subsequent Injections: complete a c</w:t>
      </w:r>
      <w:r w:rsidR="0076077E" w:rsidRPr="000B1050">
        <w:rPr>
          <w:rFonts w:ascii="Gill Sans MT" w:hAnsi="Gill Sans MT"/>
        </w:rPr>
        <w:t xml:space="preserve">omprehensive </w:t>
      </w:r>
      <w:r>
        <w:rPr>
          <w:rFonts w:ascii="Gill Sans MT" w:hAnsi="Gill Sans MT"/>
        </w:rPr>
        <w:t>m</w:t>
      </w:r>
      <w:r w:rsidR="0076077E" w:rsidRPr="000B1050">
        <w:rPr>
          <w:rFonts w:ascii="Gill Sans MT" w:hAnsi="Gill Sans MT"/>
        </w:rPr>
        <w:t xml:space="preserve">etabolic </w:t>
      </w:r>
      <w:r>
        <w:rPr>
          <w:rFonts w:ascii="Gill Sans MT" w:hAnsi="Gill Sans MT"/>
        </w:rPr>
        <w:t>p</w:t>
      </w:r>
      <w:r w:rsidR="0076077E" w:rsidRPr="000B1050">
        <w:rPr>
          <w:rFonts w:ascii="Gill Sans MT" w:hAnsi="Gill Sans MT"/>
        </w:rPr>
        <w:t xml:space="preserve">anel to assess hepatic and renal functioning, urine drug screen just prior to injection. </w:t>
      </w:r>
    </w:p>
    <w:p w:rsidR="00C06E50" w:rsidRDefault="00C06E50" w:rsidP="00D1367E">
      <w:pPr>
        <w:contextualSpacing/>
        <w:jc w:val="both"/>
        <w:rPr>
          <w:rFonts w:ascii="Gill Sans MT" w:hAnsi="Gill Sans MT"/>
          <w:b/>
        </w:rPr>
      </w:pPr>
      <w:r w:rsidRPr="00C06E50">
        <w:rPr>
          <w:rFonts w:ascii="Gill Sans MT" w:hAnsi="Gill Sans MT"/>
          <w:b/>
        </w:rPr>
        <w:t>Screening</w:t>
      </w:r>
    </w:p>
    <w:p w:rsidR="002C73F8" w:rsidRPr="00C06E50" w:rsidRDefault="002C73F8" w:rsidP="00D1367E">
      <w:pPr>
        <w:contextualSpacing/>
        <w:jc w:val="both"/>
        <w:rPr>
          <w:rFonts w:ascii="Gill Sans MT" w:hAnsi="Gill Sans MT"/>
          <w:b/>
        </w:rPr>
      </w:pPr>
    </w:p>
    <w:p w:rsidR="00C06E50" w:rsidRPr="00C06E50" w:rsidRDefault="00C06E50" w:rsidP="00D1367E">
      <w:pPr>
        <w:contextualSpacing/>
        <w:jc w:val="both"/>
        <w:rPr>
          <w:rFonts w:ascii="Gill Sans MT" w:hAnsi="Gill Sans MT"/>
        </w:rPr>
      </w:pPr>
      <w:r w:rsidRPr="00C06E50">
        <w:rPr>
          <w:rFonts w:ascii="Gill Sans MT" w:hAnsi="Gill Sans MT"/>
        </w:rPr>
        <w:t xml:space="preserve">As part of the clinical assessment, the Brief Addiction Monitor (BAM) is administered prior to the initiation of Vivitrol. The BAM provides measurement of addiction problem severity to support treatment in SUD care settings. </w:t>
      </w:r>
    </w:p>
    <w:p w:rsidR="00C06E50" w:rsidRPr="00C06E50" w:rsidRDefault="00C06E50" w:rsidP="00D1367E">
      <w:pPr>
        <w:numPr>
          <w:ilvl w:val="0"/>
          <w:numId w:val="14"/>
        </w:numPr>
        <w:contextualSpacing/>
        <w:jc w:val="both"/>
        <w:rPr>
          <w:rFonts w:ascii="Gill Sans MT" w:hAnsi="Gill Sans MT"/>
        </w:rPr>
      </w:pPr>
      <w:r w:rsidRPr="00C06E50">
        <w:rPr>
          <w:rFonts w:ascii="Gill Sans MT" w:hAnsi="Gill Sans MT"/>
        </w:rPr>
        <w:t>Administer as a clinical interview</w:t>
      </w:r>
      <w:r w:rsidR="003E618B" w:rsidRPr="00C06E50">
        <w:rPr>
          <w:rFonts w:ascii="Gill Sans MT" w:hAnsi="Gill Sans MT"/>
        </w:rPr>
        <w:t>; typically</w:t>
      </w:r>
      <w:r w:rsidRPr="00C06E50">
        <w:rPr>
          <w:rFonts w:ascii="Gill Sans MT" w:hAnsi="Gill Sans MT"/>
        </w:rPr>
        <w:t xml:space="preserve"> takes about 5 minutes to complete.</w:t>
      </w:r>
    </w:p>
    <w:p w:rsidR="00C06E50" w:rsidRPr="00C06E50" w:rsidRDefault="00C06E50" w:rsidP="00D1367E">
      <w:pPr>
        <w:numPr>
          <w:ilvl w:val="0"/>
          <w:numId w:val="14"/>
        </w:numPr>
        <w:contextualSpacing/>
        <w:jc w:val="both"/>
        <w:rPr>
          <w:rFonts w:ascii="Gill Sans MT" w:hAnsi="Gill Sans MT"/>
        </w:rPr>
      </w:pPr>
      <w:r w:rsidRPr="00C06E50">
        <w:rPr>
          <w:rFonts w:ascii="Gill Sans MT" w:hAnsi="Gill Sans MT"/>
        </w:rPr>
        <w:t>Retrospectively examines the client’s behavior in the past 30-days.</w:t>
      </w:r>
    </w:p>
    <w:p w:rsidR="00C06E50" w:rsidRPr="00C06E50" w:rsidRDefault="00C06E50" w:rsidP="00D1367E">
      <w:pPr>
        <w:numPr>
          <w:ilvl w:val="0"/>
          <w:numId w:val="14"/>
        </w:numPr>
        <w:contextualSpacing/>
        <w:jc w:val="both"/>
        <w:rPr>
          <w:rFonts w:ascii="Gill Sans MT" w:hAnsi="Gill Sans MT"/>
        </w:rPr>
      </w:pPr>
      <w:r w:rsidRPr="00C06E50">
        <w:rPr>
          <w:rFonts w:ascii="Gill Sans MT" w:hAnsi="Gill Sans MT"/>
        </w:rPr>
        <w:t>Includes items that assess Risk factors for substance use, Protective factors that support sobriety, and drug and alcohol Use.</w:t>
      </w:r>
    </w:p>
    <w:p w:rsidR="00C06E50" w:rsidRPr="00C06E50" w:rsidRDefault="00C06E50" w:rsidP="00D1367E">
      <w:pPr>
        <w:numPr>
          <w:ilvl w:val="0"/>
          <w:numId w:val="14"/>
        </w:numPr>
        <w:contextualSpacing/>
        <w:jc w:val="both"/>
        <w:rPr>
          <w:rFonts w:ascii="Gill Sans MT" w:hAnsi="Gill Sans MT"/>
        </w:rPr>
      </w:pPr>
      <w:r w:rsidRPr="00C06E50">
        <w:rPr>
          <w:rFonts w:ascii="Gill Sans MT" w:hAnsi="Gill Sans MT"/>
        </w:rPr>
        <w:t>Produces composite scores for Risk and Protection as well as a Use score. A client's clinical status may be assessed by examining individual BAM items and/or composite scores.</w:t>
      </w:r>
    </w:p>
    <w:p w:rsidR="002C73F8" w:rsidRPr="002C73F8" w:rsidRDefault="002C73F8" w:rsidP="00D1367E">
      <w:pPr>
        <w:contextualSpacing/>
        <w:jc w:val="both"/>
        <w:rPr>
          <w:rFonts w:ascii="Gill Sans MT" w:hAnsi="Gill Sans MT"/>
        </w:rPr>
      </w:pPr>
    </w:p>
    <w:p w:rsidR="00C06E50" w:rsidRDefault="00C06E50" w:rsidP="00D1367E">
      <w:pPr>
        <w:contextualSpacing/>
        <w:jc w:val="both"/>
        <w:rPr>
          <w:rFonts w:ascii="Gill Sans MT" w:hAnsi="Gill Sans MT"/>
          <w:b/>
        </w:rPr>
      </w:pPr>
      <w:r w:rsidRPr="00C06E50">
        <w:rPr>
          <w:rFonts w:ascii="Gill Sans MT" w:hAnsi="Gill Sans MT"/>
          <w:b/>
        </w:rPr>
        <w:t>Care Management</w:t>
      </w:r>
    </w:p>
    <w:p w:rsidR="00C06E50" w:rsidRPr="00C06E50" w:rsidRDefault="00C06E50" w:rsidP="00D1367E">
      <w:pPr>
        <w:contextualSpacing/>
        <w:jc w:val="both"/>
        <w:rPr>
          <w:rFonts w:ascii="Gill Sans MT" w:hAnsi="Gill Sans MT"/>
          <w:b/>
        </w:rPr>
      </w:pPr>
    </w:p>
    <w:p w:rsidR="00AA2AA4" w:rsidRPr="00AA2AA4" w:rsidRDefault="00AA2AA4" w:rsidP="00AA2AA4">
      <w:pPr>
        <w:numPr>
          <w:ilvl w:val="0"/>
          <w:numId w:val="16"/>
        </w:numPr>
        <w:contextualSpacing/>
        <w:jc w:val="both"/>
        <w:rPr>
          <w:rFonts w:ascii="Gill Sans MT" w:hAnsi="Gill Sans MT"/>
        </w:rPr>
      </w:pPr>
      <w:r w:rsidRPr="00AA2AA4">
        <w:rPr>
          <w:rFonts w:ascii="Gill Sans MT" w:hAnsi="Gill Sans MT"/>
          <w:b/>
          <w:i/>
        </w:rPr>
        <w:t xml:space="preserve">Client receiving more than 3 consecutive doses.  </w:t>
      </w:r>
      <w:r w:rsidRPr="00AA2AA4">
        <w:rPr>
          <w:rFonts w:ascii="Gill Sans MT" w:hAnsi="Gill Sans MT"/>
        </w:rPr>
        <w:t xml:space="preserve">Any client exceeding three (3) consecutive doses within 90 days should have a more thorough assessment and the Substance Use Disorder team needs to have a strong clinical justification as to why </w:t>
      </w:r>
      <w:r w:rsidR="008458D9" w:rsidRPr="008458D9">
        <w:rPr>
          <w:rFonts w:ascii="Gill Sans MT" w:hAnsi="Gill Sans MT"/>
          <w:b/>
        </w:rPr>
        <w:t>Program C</w:t>
      </w:r>
      <w:r w:rsidRPr="00AA2AA4">
        <w:rPr>
          <w:rFonts w:ascii="Gill Sans MT" w:hAnsi="Gill Sans MT"/>
        </w:rPr>
        <w:t xml:space="preserve"> would need to continue services at that same level.  For SAPC clients, approval must be obtained for injections exceeding three (3) beyond 90 days.</w:t>
      </w:r>
    </w:p>
    <w:p w:rsidR="00C06E50" w:rsidRPr="00C06E50" w:rsidRDefault="00C06E50" w:rsidP="00AA2AA4">
      <w:pPr>
        <w:numPr>
          <w:ilvl w:val="0"/>
          <w:numId w:val="16"/>
        </w:numPr>
        <w:contextualSpacing/>
        <w:jc w:val="both"/>
        <w:rPr>
          <w:rFonts w:ascii="Gill Sans MT" w:hAnsi="Gill Sans MT"/>
        </w:rPr>
      </w:pPr>
      <w:r w:rsidRPr="00D1367E">
        <w:rPr>
          <w:rFonts w:ascii="Gill Sans MT" w:hAnsi="Gill Sans MT"/>
          <w:b/>
          <w:i/>
        </w:rPr>
        <w:t>Continuity of care.</w:t>
      </w:r>
      <w:r w:rsidRPr="00C06E50">
        <w:rPr>
          <w:rFonts w:ascii="Gill Sans MT" w:hAnsi="Gill Sans MT"/>
        </w:rPr>
        <w:t xml:space="preserve"> In a case where it is determined that Vivitrol treatment for any particular client should be discontinued</w:t>
      </w:r>
      <w:r w:rsidR="00CE6B16">
        <w:rPr>
          <w:rFonts w:ascii="Gill Sans MT" w:hAnsi="Gill Sans MT"/>
        </w:rPr>
        <w:t>,</w:t>
      </w:r>
      <w:r w:rsidRPr="00C06E50">
        <w:rPr>
          <w:rFonts w:ascii="Gill Sans MT" w:hAnsi="Gill Sans MT"/>
        </w:rPr>
        <w:t xml:space="preserve"> a case conference should be scheduled to discuss the treatment plan for that client</w:t>
      </w:r>
      <w:r w:rsidR="000E4F55">
        <w:rPr>
          <w:rFonts w:ascii="Gill Sans MT" w:hAnsi="Gill Sans MT"/>
        </w:rPr>
        <w:t xml:space="preserve"> including linkage to aftercare/continued treatment (i.e., discharge from residential to community care).</w:t>
      </w:r>
    </w:p>
    <w:p w:rsidR="00D1367E" w:rsidRDefault="00C06E50" w:rsidP="00D1367E">
      <w:pPr>
        <w:numPr>
          <w:ilvl w:val="0"/>
          <w:numId w:val="16"/>
        </w:numPr>
        <w:contextualSpacing/>
        <w:jc w:val="both"/>
        <w:rPr>
          <w:rFonts w:ascii="Gill Sans MT" w:hAnsi="Gill Sans MT"/>
        </w:rPr>
      </w:pPr>
      <w:r w:rsidRPr="00D1367E">
        <w:rPr>
          <w:rFonts w:ascii="Gill Sans MT" w:hAnsi="Gill Sans MT"/>
          <w:b/>
          <w:i/>
        </w:rPr>
        <w:t>Documentation.</w:t>
      </w:r>
      <w:r w:rsidRPr="00C06E50">
        <w:rPr>
          <w:rFonts w:ascii="Gill Sans MT" w:hAnsi="Gill Sans MT"/>
        </w:rPr>
        <w:t xml:space="preserve"> For any client receiving Vivitrol treatment who is also receiving other residential or outpatient services at </w:t>
      </w:r>
      <w:r w:rsidR="008458D9" w:rsidRPr="008458D9">
        <w:rPr>
          <w:rFonts w:ascii="Gill Sans MT" w:hAnsi="Gill Sans MT"/>
          <w:b/>
        </w:rPr>
        <w:t>Program C</w:t>
      </w:r>
      <w:r w:rsidRPr="00C06E50">
        <w:rPr>
          <w:rFonts w:ascii="Gill Sans MT" w:hAnsi="Gill Sans MT"/>
        </w:rPr>
        <w:t>, staff will ensure that documentation in the Vivitrol medical record is included in the client’s chart.</w:t>
      </w:r>
      <w:r w:rsidR="00D1367E" w:rsidRPr="00D1367E">
        <w:rPr>
          <w:rFonts w:ascii="Gill Sans MT" w:hAnsi="Gill Sans MT"/>
        </w:rPr>
        <w:t xml:space="preserve"> </w:t>
      </w:r>
    </w:p>
    <w:p w:rsidR="00D1367E" w:rsidRPr="00D1367E" w:rsidRDefault="00D1367E" w:rsidP="00D1367E">
      <w:pPr>
        <w:numPr>
          <w:ilvl w:val="0"/>
          <w:numId w:val="16"/>
        </w:numPr>
        <w:contextualSpacing/>
        <w:jc w:val="both"/>
        <w:rPr>
          <w:rFonts w:ascii="Gill Sans MT" w:hAnsi="Gill Sans MT"/>
          <w:b/>
          <w:i/>
        </w:rPr>
      </w:pPr>
      <w:r>
        <w:rPr>
          <w:rFonts w:ascii="Gill Sans MT" w:hAnsi="Gill Sans MT"/>
          <w:b/>
          <w:i/>
        </w:rPr>
        <w:t>Additional Details</w:t>
      </w:r>
      <w:r w:rsidRPr="00D1367E">
        <w:rPr>
          <w:rFonts w:ascii="Gill Sans MT" w:hAnsi="Gill Sans MT"/>
          <w:b/>
          <w:i/>
        </w:rPr>
        <w:t>.</w:t>
      </w:r>
      <w:r>
        <w:rPr>
          <w:rFonts w:ascii="Gill Sans MT" w:hAnsi="Gill Sans MT"/>
        </w:rPr>
        <w:t xml:space="preserve"> See </w:t>
      </w:r>
      <w:r w:rsidR="008458D9" w:rsidRPr="008458D9">
        <w:rPr>
          <w:rFonts w:ascii="Gill Sans MT" w:hAnsi="Gill Sans MT"/>
          <w:b/>
        </w:rPr>
        <w:t>Program C</w:t>
      </w:r>
      <w:r>
        <w:rPr>
          <w:rFonts w:ascii="Gill Sans MT" w:hAnsi="Gill Sans MT"/>
        </w:rPr>
        <w:t xml:space="preserve"> Policy and Procedure: Medication-Assisted Therapy.</w:t>
      </w:r>
    </w:p>
    <w:p w:rsidR="00197232" w:rsidRDefault="00197232" w:rsidP="00D1367E">
      <w:pPr>
        <w:spacing w:after="0"/>
        <w:jc w:val="both"/>
        <w:rPr>
          <w:rFonts w:ascii="Gill Sans MT" w:hAnsi="Gill Sans MT"/>
          <w:b/>
        </w:rPr>
      </w:pPr>
    </w:p>
    <w:p w:rsidR="000918E4" w:rsidRDefault="000918E4" w:rsidP="00D1367E">
      <w:pPr>
        <w:spacing w:after="0"/>
        <w:jc w:val="both"/>
        <w:rPr>
          <w:rFonts w:ascii="Gill Sans MT" w:hAnsi="Gill Sans MT"/>
          <w:b/>
        </w:rPr>
      </w:pPr>
      <w:r>
        <w:rPr>
          <w:rFonts w:ascii="Gill Sans MT" w:hAnsi="Gill Sans MT"/>
          <w:b/>
        </w:rPr>
        <w:t>PRESCRIBING</w:t>
      </w:r>
    </w:p>
    <w:p w:rsidR="003670EE" w:rsidRDefault="003670EE" w:rsidP="00D1367E">
      <w:pPr>
        <w:spacing w:after="0"/>
        <w:jc w:val="both"/>
        <w:rPr>
          <w:rFonts w:ascii="Gill Sans MT" w:hAnsi="Gill Sans MT"/>
          <w:b/>
        </w:rPr>
      </w:pPr>
    </w:p>
    <w:p w:rsidR="000918E4" w:rsidRDefault="000918E4" w:rsidP="00D1367E">
      <w:pPr>
        <w:jc w:val="both"/>
        <w:rPr>
          <w:rFonts w:ascii="Gill Sans MT" w:hAnsi="Gill Sans MT"/>
        </w:rPr>
      </w:pPr>
      <w:r w:rsidRPr="00A46228">
        <w:rPr>
          <w:rFonts w:ascii="Gill Sans MT" w:hAnsi="Gill Sans MT"/>
        </w:rPr>
        <w:t xml:space="preserve">Naltrexone can be prescribed by any healthcare provider who is licensed to prescribe medications. Special training is not required; the medication can be administered in </w:t>
      </w:r>
      <w:r w:rsidR="009E4ED1">
        <w:rPr>
          <w:rFonts w:ascii="Gill Sans MT" w:hAnsi="Gill Sans MT"/>
        </w:rPr>
        <w:t>Opioid treatment program (</w:t>
      </w:r>
      <w:r w:rsidRPr="00A46228">
        <w:rPr>
          <w:rFonts w:ascii="Gill Sans MT" w:hAnsi="Gill Sans MT"/>
        </w:rPr>
        <w:t>OTP</w:t>
      </w:r>
      <w:r w:rsidR="009E4ED1">
        <w:rPr>
          <w:rFonts w:ascii="Gill Sans MT" w:hAnsi="Gill Sans MT"/>
        </w:rPr>
        <w:t>)</w:t>
      </w:r>
      <w:r w:rsidRPr="00A46228">
        <w:rPr>
          <w:rFonts w:ascii="Gill Sans MT" w:hAnsi="Gill Sans MT"/>
        </w:rPr>
        <w:t xml:space="preserve"> clinics. Practitioners in community health centers or private office settings can also prescribe it for purchase at the pharmacy.</w:t>
      </w:r>
    </w:p>
    <w:p w:rsidR="000918E4" w:rsidRPr="000918E4" w:rsidRDefault="000918E4" w:rsidP="00D1367E">
      <w:pPr>
        <w:jc w:val="both"/>
        <w:rPr>
          <w:rFonts w:ascii="Gill Sans MT" w:hAnsi="Gill Sans MT"/>
        </w:rPr>
      </w:pPr>
      <w:r w:rsidRPr="000918E4">
        <w:rPr>
          <w:rFonts w:ascii="Gill Sans MT" w:hAnsi="Gill Sans MT"/>
          <w:b/>
        </w:rPr>
        <w:t>How taken</w:t>
      </w:r>
      <w:r w:rsidRPr="000918E4">
        <w:rPr>
          <w:rFonts w:ascii="Gill Sans MT" w:hAnsi="Gill Sans MT"/>
        </w:rPr>
        <w:t>: Intramuscular injection once every 4 weeks.</w:t>
      </w:r>
    </w:p>
    <w:p w:rsidR="000918E4" w:rsidRPr="000918E4" w:rsidRDefault="000918E4" w:rsidP="00D1367E">
      <w:pPr>
        <w:jc w:val="both"/>
        <w:rPr>
          <w:rFonts w:ascii="Gill Sans MT" w:hAnsi="Gill Sans MT"/>
        </w:rPr>
      </w:pPr>
      <w:r w:rsidRPr="000918E4">
        <w:rPr>
          <w:rFonts w:ascii="Gill Sans MT" w:hAnsi="Gill Sans MT"/>
          <w:b/>
        </w:rPr>
        <w:t>How supplied:</w:t>
      </w:r>
      <w:r w:rsidRPr="000918E4">
        <w:rPr>
          <w:rFonts w:ascii="Gill Sans MT" w:hAnsi="Gill Sans MT"/>
        </w:rPr>
        <w:t xml:space="preserve"> Single-use carton containing 380 mg vial of Vivitrol microspheres, 4 mL vial of diluent, 5 mL syringe, 20-gauge ½-inch needle, and two 20-gauge 1½-inch needles.</w:t>
      </w:r>
    </w:p>
    <w:p w:rsidR="001A2A6E" w:rsidRPr="00CD7020" w:rsidRDefault="001A2A6E" w:rsidP="001A2A6E">
      <w:pPr>
        <w:rPr>
          <w:rFonts w:ascii="Gill Sans MT" w:hAnsi="Gill Sans MT"/>
          <w:b/>
        </w:rPr>
      </w:pPr>
      <w:r w:rsidRPr="00CD7020">
        <w:rPr>
          <w:rFonts w:ascii="Gill Sans MT" w:hAnsi="Gill Sans MT"/>
          <w:b/>
        </w:rPr>
        <w:t>ADVERSE EVENTS AND WARNINGS</w:t>
      </w:r>
    </w:p>
    <w:p w:rsidR="001A2A6E" w:rsidRPr="00CD7020" w:rsidRDefault="00FA70DF" w:rsidP="00D1367E">
      <w:pPr>
        <w:jc w:val="both"/>
        <w:rPr>
          <w:rFonts w:ascii="Gill Sans MT" w:hAnsi="Gill Sans MT"/>
        </w:rPr>
      </w:pPr>
      <w:r w:rsidRPr="00FA70DF">
        <w:rPr>
          <w:rFonts w:ascii="Gill Sans MT" w:hAnsi="Gill Sans MT"/>
        </w:rPr>
        <w:t>Naltrexone generally is well tolerated, although it has the potential to precipitate severe opioid withdrawal in patients who are opioid dependent.</w:t>
      </w:r>
      <w:r>
        <w:rPr>
          <w:rFonts w:ascii="Gill Sans MT" w:hAnsi="Gill Sans MT"/>
        </w:rPr>
        <w:t xml:space="preserve"> </w:t>
      </w:r>
      <w:r w:rsidR="001A2A6E" w:rsidRPr="00CD7020">
        <w:rPr>
          <w:rFonts w:ascii="Gill Sans MT" w:hAnsi="Gill Sans MT"/>
        </w:rPr>
        <w:t>Warnings and precautions from the FDA Product Information Label include the following:</w:t>
      </w:r>
    </w:p>
    <w:p w:rsidR="001A2A6E" w:rsidRDefault="001A2A6E" w:rsidP="00D1367E">
      <w:pPr>
        <w:pStyle w:val="ListParagraph"/>
        <w:numPr>
          <w:ilvl w:val="0"/>
          <w:numId w:val="10"/>
        </w:numPr>
        <w:jc w:val="both"/>
        <w:rPr>
          <w:rFonts w:ascii="Gill Sans MT" w:hAnsi="Gill Sans MT"/>
        </w:rPr>
      </w:pPr>
      <w:r w:rsidRPr="00CD7020">
        <w:rPr>
          <w:rFonts w:ascii="Gill Sans MT" w:hAnsi="Gill Sans MT"/>
        </w:rPr>
        <w:lastRenderedPageBreak/>
        <w:t>Vivitrol must not be administered intravenously or subcutaneously.</w:t>
      </w:r>
    </w:p>
    <w:p w:rsidR="001A2A6E" w:rsidRDefault="001A2A6E" w:rsidP="00D1367E">
      <w:pPr>
        <w:pStyle w:val="ListParagraph"/>
        <w:numPr>
          <w:ilvl w:val="0"/>
          <w:numId w:val="10"/>
        </w:numPr>
        <w:jc w:val="both"/>
        <w:rPr>
          <w:rFonts w:ascii="Gill Sans MT" w:hAnsi="Gill Sans MT"/>
        </w:rPr>
      </w:pPr>
      <w:r w:rsidRPr="00CD7020">
        <w:rPr>
          <w:rFonts w:ascii="Gill Sans MT" w:hAnsi="Gill Sans MT"/>
        </w:rPr>
        <w:t>Vulnerability to opioid overdose: After opioid detoxification, individuals are likely to have reduced tolerance to</w:t>
      </w:r>
      <w:r>
        <w:rPr>
          <w:rFonts w:ascii="Gill Sans MT" w:hAnsi="Gill Sans MT"/>
        </w:rPr>
        <w:t xml:space="preserve"> </w:t>
      </w:r>
      <w:r w:rsidRPr="00CD7020">
        <w:rPr>
          <w:rFonts w:ascii="Gill Sans MT" w:hAnsi="Gill Sans MT"/>
        </w:rPr>
        <w:t>opioids. Vivitrol blocks the effects of exogenous opioids for approximately 28 days after administration. Use of</w:t>
      </w:r>
      <w:r>
        <w:rPr>
          <w:rFonts w:ascii="Gill Sans MT" w:hAnsi="Gill Sans MT"/>
        </w:rPr>
        <w:t xml:space="preserve"> </w:t>
      </w:r>
      <w:r w:rsidRPr="00CD7020">
        <w:rPr>
          <w:rFonts w:ascii="Gill Sans MT" w:hAnsi="Gill Sans MT"/>
        </w:rPr>
        <w:t>lower doses of opioids after Vivitrol treatment is discontinued, at the end of a dosing interval, or after missing a</w:t>
      </w:r>
      <w:r>
        <w:rPr>
          <w:rFonts w:ascii="Gill Sans MT" w:hAnsi="Gill Sans MT"/>
        </w:rPr>
        <w:t xml:space="preserve"> </w:t>
      </w:r>
      <w:r w:rsidRPr="00CD7020">
        <w:rPr>
          <w:rFonts w:ascii="Gill Sans MT" w:hAnsi="Gill Sans MT"/>
        </w:rPr>
        <w:t>dose could result in life-threatening opioid intoxication. Any attempt by an individual to overcome the blockade</w:t>
      </w:r>
      <w:r>
        <w:rPr>
          <w:rFonts w:ascii="Gill Sans MT" w:hAnsi="Gill Sans MT"/>
        </w:rPr>
        <w:t xml:space="preserve"> </w:t>
      </w:r>
      <w:r w:rsidRPr="00CD7020">
        <w:rPr>
          <w:rFonts w:ascii="Gill Sans MT" w:hAnsi="Gill Sans MT"/>
        </w:rPr>
        <w:t>produced by Vivitrol by taking opioids is very dangerous and may lead to fatal overdose.</w:t>
      </w:r>
    </w:p>
    <w:p w:rsidR="001A2A6E" w:rsidRDefault="001A2A6E" w:rsidP="00D1367E">
      <w:pPr>
        <w:pStyle w:val="ListParagraph"/>
        <w:numPr>
          <w:ilvl w:val="0"/>
          <w:numId w:val="10"/>
        </w:numPr>
        <w:jc w:val="both"/>
        <w:rPr>
          <w:rFonts w:ascii="Gill Sans MT" w:hAnsi="Gill Sans MT"/>
        </w:rPr>
      </w:pPr>
      <w:r w:rsidRPr="00CD7020">
        <w:rPr>
          <w:rFonts w:ascii="Gill Sans MT" w:hAnsi="Gill Sans MT"/>
        </w:rPr>
        <w:t>Hepatotoxicity: Cases of hepatitis and clinically significant liver dysfunction were observed in association with</w:t>
      </w:r>
      <w:r>
        <w:rPr>
          <w:rFonts w:ascii="Gill Sans MT" w:hAnsi="Gill Sans MT"/>
        </w:rPr>
        <w:t xml:space="preserve"> </w:t>
      </w:r>
      <w:r w:rsidRPr="00CD7020">
        <w:rPr>
          <w:rFonts w:ascii="Gill Sans MT" w:hAnsi="Gill Sans MT"/>
        </w:rPr>
        <w:t>Vivitrol exposure. Transient, asymptomatic hepatic transaminase elevations were also observed. Use of Vivitrol</w:t>
      </w:r>
      <w:r>
        <w:rPr>
          <w:rFonts w:ascii="Gill Sans MT" w:hAnsi="Gill Sans MT"/>
        </w:rPr>
        <w:t xml:space="preserve"> </w:t>
      </w:r>
      <w:r w:rsidRPr="00CD7020">
        <w:rPr>
          <w:rFonts w:ascii="Gill Sans MT" w:hAnsi="Gill Sans MT"/>
        </w:rPr>
        <w:t>should be discontinued in the event of symptoms or signs of acute hepatitis.</w:t>
      </w:r>
    </w:p>
    <w:p w:rsidR="001A2A6E" w:rsidRDefault="001A2A6E" w:rsidP="00D1367E">
      <w:pPr>
        <w:pStyle w:val="ListParagraph"/>
        <w:numPr>
          <w:ilvl w:val="0"/>
          <w:numId w:val="10"/>
        </w:numPr>
        <w:jc w:val="both"/>
        <w:rPr>
          <w:rFonts w:ascii="Gill Sans MT" w:hAnsi="Gill Sans MT"/>
        </w:rPr>
      </w:pPr>
      <w:r w:rsidRPr="00CD7020">
        <w:rPr>
          <w:rFonts w:ascii="Gill Sans MT" w:hAnsi="Gill Sans MT"/>
        </w:rPr>
        <w:t>Injection Site Reactions: Vivitrol injections may be followed by pain, tenderness, induration, swelling, erythema,</w:t>
      </w:r>
      <w:r>
        <w:rPr>
          <w:rFonts w:ascii="Gill Sans MT" w:hAnsi="Gill Sans MT"/>
        </w:rPr>
        <w:t xml:space="preserve"> </w:t>
      </w:r>
      <w:r w:rsidRPr="00CD7020">
        <w:rPr>
          <w:rFonts w:ascii="Gill Sans MT" w:hAnsi="Gill Sans MT"/>
        </w:rPr>
        <w:t>bruising, or pruritus; however, in some cases injection site reactions may be very severe. Additional cases of</w:t>
      </w:r>
      <w:r>
        <w:rPr>
          <w:rFonts w:ascii="Gill Sans MT" w:hAnsi="Gill Sans MT"/>
        </w:rPr>
        <w:t xml:space="preserve"> </w:t>
      </w:r>
      <w:r w:rsidRPr="00CD7020">
        <w:rPr>
          <w:rFonts w:ascii="Gill Sans MT" w:hAnsi="Gill Sans MT"/>
        </w:rPr>
        <w:t>injection site reaction with features including induration, cellulitis, hematoma, abscess, sterile abscess, and</w:t>
      </w:r>
      <w:r w:rsidRPr="00CD7020">
        <w:t xml:space="preserve"> </w:t>
      </w:r>
      <w:r w:rsidRPr="00CD7020">
        <w:rPr>
          <w:rFonts w:ascii="Gill Sans MT" w:hAnsi="Gill Sans MT"/>
        </w:rPr>
        <w:t>necrosis, have been reported. Some cases required surgical intervention, in</w:t>
      </w:r>
      <w:r>
        <w:rPr>
          <w:rFonts w:ascii="Gill Sans MT" w:hAnsi="Gill Sans MT"/>
        </w:rPr>
        <w:t xml:space="preserve">cluding debridement of necrotic </w:t>
      </w:r>
      <w:r w:rsidRPr="00CD7020">
        <w:rPr>
          <w:rFonts w:ascii="Gill Sans MT" w:hAnsi="Gill Sans MT"/>
        </w:rPr>
        <w:t>tissue. Some cases resulted in significant scarring.</w:t>
      </w:r>
    </w:p>
    <w:p w:rsidR="001A2A6E" w:rsidRDefault="001A2A6E" w:rsidP="00D1367E">
      <w:pPr>
        <w:pStyle w:val="ListParagraph"/>
        <w:numPr>
          <w:ilvl w:val="0"/>
          <w:numId w:val="10"/>
        </w:numPr>
        <w:jc w:val="both"/>
        <w:rPr>
          <w:rFonts w:ascii="Gill Sans MT" w:hAnsi="Gill Sans MT"/>
        </w:rPr>
      </w:pPr>
      <w:r w:rsidRPr="00CD7020">
        <w:rPr>
          <w:rFonts w:ascii="Gill Sans MT" w:hAnsi="Gill Sans MT"/>
        </w:rPr>
        <w:t>Eosinophilic pneumonia: Vivitrol individuals should be warned of the risk of eosinophilic pneumonia, and advised</w:t>
      </w:r>
      <w:r>
        <w:rPr>
          <w:rFonts w:ascii="Gill Sans MT" w:hAnsi="Gill Sans MT"/>
        </w:rPr>
        <w:t xml:space="preserve"> </w:t>
      </w:r>
      <w:r w:rsidRPr="00CD7020">
        <w:rPr>
          <w:rFonts w:ascii="Gill Sans MT" w:hAnsi="Gill Sans MT"/>
        </w:rPr>
        <w:t>to seek medical attention should they develop symptoms of pneumonia.</w:t>
      </w:r>
    </w:p>
    <w:p w:rsidR="001A2A6E" w:rsidRDefault="001A2A6E" w:rsidP="00D1367E">
      <w:pPr>
        <w:pStyle w:val="ListParagraph"/>
        <w:numPr>
          <w:ilvl w:val="0"/>
          <w:numId w:val="10"/>
        </w:numPr>
        <w:jc w:val="both"/>
        <w:rPr>
          <w:rFonts w:ascii="Gill Sans MT" w:hAnsi="Gill Sans MT"/>
        </w:rPr>
      </w:pPr>
      <w:r w:rsidRPr="00CD7020">
        <w:rPr>
          <w:rFonts w:ascii="Gill Sans MT" w:hAnsi="Gill Sans MT"/>
        </w:rPr>
        <w:t>Hypersensitivity: Individuals should be warned of the risk of hypersensitivity reactions, including anaphylaxis.</w:t>
      </w:r>
    </w:p>
    <w:p w:rsidR="001A2A6E" w:rsidRDefault="001A2A6E" w:rsidP="00D1367E">
      <w:pPr>
        <w:pStyle w:val="ListParagraph"/>
        <w:numPr>
          <w:ilvl w:val="0"/>
          <w:numId w:val="10"/>
        </w:numPr>
        <w:jc w:val="both"/>
        <w:rPr>
          <w:rFonts w:ascii="Gill Sans MT" w:hAnsi="Gill Sans MT"/>
        </w:rPr>
      </w:pPr>
      <w:r w:rsidRPr="00CD7020">
        <w:rPr>
          <w:rFonts w:ascii="Gill Sans MT" w:hAnsi="Gill Sans MT"/>
        </w:rPr>
        <w:t>Precipitation of Opioid Withdrawal: Opioid-dependent and opioid-using individuals, including those being treated</w:t>
      </w:r>
      <w:r>
        <w:rPr>
          <w:rFonts w:ascii="Gill Sans MT" w:hAnsi="Gill Sans MT"/>
        </w:rPr>
        <w:t xml:space="preserve"> </w:t>
      </w:r>
      <w:r w:rsidRPr="00CD7020">
        <w:rPr>
          <w:rFonts w:ascii="Gill Sans MT" w:hAnsi="Gill Sans MT"/>
        </w:rPr>
        <w:t>for alcohol dependence, should be opioid-free before starting Vivitrol treatment. An opioid-free duration of a</w:t>
      </w:r>
      <w:r>
        <w:rPr>
          <w:rFonts w:ascii="Gill Sans MT" w:hAnsi="Gill Sans MT"/>
        </w:rPr>
        <w:t xml:space="preserve"> </w:t>
      </w:r>
      <w:r w:rsidRPr="00CD7020">
        <w:rPr>
          <w:rFonts w:ascii="Gill Sans MT" w:hAnsi="Gill Sans MT"/>
        </w:rPr>
        <w:t>minimum of 7-1</w:t>
      </w:r>
      <w:r w:rsidR="00153A99">
        <w:rPr>
          <w:rFonts w:ascii="Gill Sans MT" w:hAnsi="Gill Sans MT"/>
        </w:rPr>
        <w:t>4</w:t>
      </w:r>
      <w:r w:rsidRPr="00CD7020">
        <w:rPr>
          <w:rFonts w:ascii="Gill Sans MT" w:hAnsi="Gill Sans MT"/>
        </w:rPr>
        <w:t xml:space="preserve"> days is recommended for individuals to avoid precipitation of opioid withdrawal that may be</w:t>
      </w:r>
      <w:r>
        <w:rPr>
          <w:rFonts w:ascii="Gill Sans MT" w:hAnsi="Gill Sans MT"/>
        </w:rPr>
        <w:t xml:space="preserve"> </w:t>
      </w:r>
      <w:r w:rsidRPr="00CD7020">
        <w:rPr>
          <w:rFonts w:ascii="Gill Sans MT" w:hAnsi="Gill Sans MT"/>
        </w:rPr>
        <w:t>severe enough to require hospitalization.</w:t>
      </w:r>
      <w:r w:rsidR="00153A99">
        <w:rPr>
          <w:rFonts w:ascii="Gill Sans MT" w:hAnsi="Gill Sans MT"/>
        </w:rPr>
        <w:t xml:space="preserve">  Clients who have been on long-acting opiates such as Methadone and Buprenorphine will need to be off of these medications for 14 days prior to administration of Vivitrol. </w:t>
      </w:r>
    </w:p>
    <w:p w:rsidR="001A2A6E" w:rsidRDefault="001A2A6E" w:rsidP="00D1367E">
      <w:pPr>
        <w:pStyle w:val="ListParagraph"/>
        <w:numPr>
          <w:ilvl w:val="0"/>
          <w:numId w:val="10"/>
        </w:numPr>
        <w:jc w:val="both"/>
        <w:rPr>
          <w:rFonts w:ascii="Gill Sans MT" w:hAnsi="Gill Sans MT"/>
        </w:rPr>
      </w:pPr>
      <w:r w:rsidRPr="00CD7020">
        <w:rPr>
          <w:rFonts w:ascii="Gill Sans MT" w:hAnsi="Gill Sans MT"/>
        </w:rPr>
        <w:t>Depression and Suicidality: Vivitrol individuals should be monitored for the development of depression or suicidal</w:t>
      </w:r>
      <w:r>
        <w:rPr>
          <w:rFonts w:ascii="Gill Sans MT" w:hAnsi="Gill Sans MT"/>
        </w:rPr>
        <w:t xml:space="preserve"> </w:t>
      </w:r>
      <w:r w:rsidRPr="00CD7020">
        <w:rPr>
          <w:rFonts w:ascii="Gill Sans MT" w:hAnsi="Gill Sans MT"/>
        </w:rPr>
        <w:t>thinking.</w:t>
      </w:r>
    </w:p>
    <w:p w:rsidR="001A2A6E" w:rsidRDefault="001A2A6E" w:rsidP="00D1367E">
      <w:pPr>
        <w:pStyle w:val="ListParagraph"/>
        <w:numPr>
          <w:ilvl w:val="0"/>
          <w:numId w:val="10"/>
        </w:numPr>
        <w:jc w:val="both"/>
        <w:rPr>
          <w:rFonts w:ascii="Gill Sans MT" w:hAnsi="Gill Sans MT"/>
        </w:rPr>
      </w:pPr>
      <w:r w:rsidRPr="00CD7020">
        <w:rPr>
          <w:rFonts w:ascii="Gill Sans MT" w:hAnsi="Gill Sans MT"/>
        </w:rPr>
        <w:t>Intramuscular Injections: Vivitrol should be administered with caution to individuals with thrombocytopenia or any</w:t>
      </w:r>
      <w:r>
        <w:rPr>
          <w:rFonts w:ascii="Gill Sans MT" w:hAnsi="Gill Sans MT"/>
        </w:rPr>
        <w:t xml:space="preserve"> </w:t>
      </w:r>
      <w:r w:rsidRPr="00CD7020">
        <w:rPr>
          <w:rFonts w:ascii="Gill Sans MT" w:hAnsi="Gill Sans MT"/>
        </w:rPr>
        <w:t>coagulation disorder (e.g., hemophilia and severe hepatic failure).</w:t>
      </w:r>
    </w:p>
    <w:p w:rsidR="00153A99" w:rsidRPr="000B1050" w:rsidRDefault="001A2A6E" w:rsidP="00D1367E">
      <w:pPr>
        <w:pStyle w:val="ListParagraph"/>
        <w:numPr>
          <w:ilvl w:val="0"/>
          <w:numId w:val="10"/>
        </w:numPr>
        <w:jc w:val="both"/>
        <w:rPr>
          <w:rFonts w:ascii="Gill Sans MT" w:hAnsi="Gill Sans MT"/>
        </w:rPr>
      </w:pPr>
      <w:r w:rsidRPr="00CD7020">
        <w:rPr>
          <w:rFonts w:ascii="Gill Sans MT" w:hAnsi="Gill Sans MT"/>
        </w:rPr>
        <w:t>When Reversal of Vivitrol Blockade Is Required for Pain Management: In an emergency situation in individuals</w:t>
      </w:r>
      <w:r>
        <w:rPr>
          <w:rFonts w:ascii="Gill Sans MT" w:hAnsi="Gill Sans MT"/>
        </w:rPr>
        <w:t xml:space="preserve"> </w:t>
      </w:r>
      <w:r w:rsidRPr="00CD7020">
        <w:rPr>
          <w:rFonts w:ascii="Gill Sans MT" w:hAnsi="Gill Sans MT"/>
        </w:rPr>
        <w:t>receiving Vivitrol, suggestions for pain management include regional analgesia or use of non-opioid analgesics.</w:t>
      </w:r>
      <w:r w:rsidR="00153A99">
        <w:rPr>
          <w:rFonts w:ascii="Gill Sans MT" w:hAnsi="Gill Sans MT"/>
        </w:rPr>
        <w:t xml:space="preserve">  Individuals will be given a bracelet to wear in case of emergencies so that emergency personnel are aware that the client has an opiate blockade and will require higher doses of opiates to overcome the blockade with subsequent respiratory monitoring and support. </w:t>
      </w:r>
    </w:p>
    <w:p w:rsidR="00DF2018" w:rsidRDefault="00DF2018" w:rsidP="00D1367E">
      <w:pPr>
        <w:jc w:val="both"/>
        <w:rPr>
          <w:rFonts w:ascii="Gill Sans MT" w:hAnsi="Gill Sans MT"/>
          <w:b/>
        </w:rPr>
      </w:pPr>
      <w:r>
        <w:rPr>
          <w:rFonts w:ascii="Gill Sans MT" w:hAnsi="Gill Sans MT"/>
          <w:b/>
        </w:rPr>
        <w:t>COVERAGE</w:t>
      </w:r>
    </w:p>
    <w:p w:rsidR="00DF2018" w:rsidRPr="00DF2018" w:rsidRDefault="00DF2018" w:rsidP="00D1367E">
      <w:pPr>
        <w:jc w:val="both"/>
        <w:rPr>
          <w:rFonts w:ascii="Gill Sans MT" w:hAnsi="Gill Sans MT"/>
        </w:rPr>
      </w:pPr>
      <w:r w:rsidRPr="00DF2018">
        <w:rPr>
          <w:rFonts w:ascii="Gill Sans MT" w:hAnsi="Gill Sans MT"/>
        </w:rPr>
        <w:t xml:space="preserve">Naltrexone long-acting injection (Vivitrol) is a covered benefit of the Medi-Cal program and is available to all Medi-Cal beneficiaries who demonstrate a medical necessity for the use of the drug. </w:t>
      </w:r>
      <w:r w:rsidR="002E08CD" w:rsidRPr="002E08CD">
        <w:rPr>
          <w:rFonts w:ascii="Gill Sans MT" w:hAnsi="Gill Sans MT"/>
        </w:rPr>
        <w:t xml:space="preserve">In the treatment of alcohol dependence, the injectable form of naltrexone is used in professionally supervised treatment that includes medical examination and supervision, indicated laboratory tests, psychosocial support, urinalyses, drug-use monitoring and other appropriate support such as that provided through the Drug/Medi-Cal program.  Prior to initiation of treatment with naltrexone, </w:t>
      </w:r>
      <w:r w:rsidR="002E08CD">
        <w:rPr>
          <w:rFonts w:ascii="Gill Sans MT" w:hAnsi="Gill Sans MT"/>
        </w:rPr>
        <w:t>clients</w:t>
      </w:r>
      <w:r w:rsidR="002E08CD" w:rsidRPr="002E08CD">
        <w:rPr>
          <w:rFonts w:ascii="Gill Sans MT" w:hAnsi="Gill Sans MT"/>
        </w:rPr>
        <w:t xml:space="preserve"> must be able to abstain from alcohol in an</w:t>
      </w:r>
      <w:r w:rsidR="000E4F55">
        <w:rPr>
          <w:rFonts w:ascii="Gill Sans MT" w:hAnsi="Gill Sans MT"/>
        </w:rPr>
        <w:t>y</w:t>
      </w:r>
      <w:r w:rsidR="002E08CD" w:rsidRPr="002E08CD">
        <w:rPr>
          <w:rFonts w:ascii="Gill Sans MT" w:hAnsi="Gill Sans MT"/>
        </w:rPr>
        <w:t xml:space="preserve"> setting, an</w:t>
      </w:r>
      <w:r w:rsidR="002E08CD">
        <w:rPr>
          <w:rFonts w:ascii="Gill Sans MT" w:hAnsi="Gill Sans MT"/>
        </w:rPr>
        <w:t>d clients</w:t>
      </w:r>
      <w:r w:rsidR="002E08CD" w:rsidRPr="002E08CD">
        <w:rPr>
          <w:rFonts w:ascii="Gill Sans MT" w:hAnsi="Gill Sans MT"/>
        </w:rPr>
        <w:t xml:space="preserve"> should no</w:t>
      </w:r>
      <w:bookmarkStart w:id="0" w:name="_GoBack"/>
      <w:bookmarkEnd w:id="0"/>
      <w:r w:rsidR="002E08CD" w:rsidRPr="002E08CD">
        <w:rPr>
          <w:rFonts w:ascii="Gill Sans MT" w:hAnsi="Gill Sans MT"/>
        </w:rPr>
        <w:t>t be actively drinking at the time of initial naltrexone administration.</w:t>
      </w:r>
      <w:r w:rsidR="002E08CD">
        <w:rPr>
          <w:rFonts w:ascii="Gill Sans MT" w:hAnsi="Gill Sans MT"/>
        </w:rPr>
        <w:t xml:space="preserve"> </w:t>
      </w:r>
      <w:r w:rsidRPr="00DF2018">
        <w:rPr>
          <w:rFonts w:ascii="Gill Sans MT" w:hAnsi="Gill Sans MT"/>
        </w:rPr>
        <w:t>It may be billed as either a medical claim (for all Medi-Cal beneficiaries) or a pharmacy claim (for select populat</w:t>
      </w:r>
      <w:r>
        <w:rPr>
          <w:rFonts w:ascii="Gill Sans MT" w:hAnsi="Gill Sans MT"/>
        </w:rPr>
        <w:t xml:space="preserve">ions only, as indicated below). </w:t>
      </w:r>
      <w:r w:rsidRPr="00DF2018">
        <w:rPr>
          <w:rFonts w:ascii="Gill Sans MT" w:hAnsi="Gill Sans MT"/>
        </w:rPr>
        <w:t>The policy for naltrexone long-acting injection, when provided as a medical benefit, can be found in the Injections: Drugs N – R section of the M</w:t>
      </w:r>
      <w:r>
        <w:rPr>
          <w:rFonts w:ascii="Gill Sans MT" w:hAnsi="Gill Sans MT"/>
        </w:rPr>
        <w:t xml:space="preserve">edi-Cal Part 2 provider manual. </w:t>
      </w:r>
      <w:r w:rsidR="00B811E2">
        <w:rPr>
          <w:rFonts w:ascii="Gill Sans MT" w:hAnsi="Gill Sans MT"/>
        </w:rPr>
        <w:t>It may also be a</w:t>
      </w:r>
      <w:r w:rsidRPr="00DF2018">
        <w:rPr>
          <w:rFonts w:ascii="Gill Sans MT" w:hAnsi="Gill Sans MT"/>
        </w:rPr>
        <w:t>vailable as a pharmacy benefit to Medi-Cal beneficiaries meeting both of the following criteria:</w:t>
      </w:r>
    </w:p>
    <w:p w:rsidR="00DF2018" w:rsidRPr="00DF2018" w:rsidRDefault="00DF2018" w:rsidP="00D1367E">
      <w:pPr>
        <w:pStyle w:val="ListParagraph"/>
        <w:numPr>
          <w:ilvl w:val="0"/>
          <w:numId w:val="17"/>
        </w:numPr>
        <w:jc w:val="both"/>
        <w:rPr>
          <w:rFonts w:ascii="Gill Sans MT" w:hAnsi="Gill Sans MT"/>
        </w:rPr>
      </w:pPr>
      <w:r w:rsidRPr="00DF2018">
        <w:rPr>
          <w:rFonts w:ascii="Gill Sans MT" w:hAnsi="Gill Sans MT"/>
        </w:rPr>
        <w:t>Charged with, or convicted of, a felony or misdemeanor; and</w:t>
      </w:r>
    </w:p>
    <w:p w:rsidR="00DF2018" w:rsidRPr="00DF2018" w:rsidRDefault="00DF2018" w:rsidP="00D1367E">
      <w:pPr>
        <w:pStyle w:val="ListParagraph"/>
        <w:numPr>
          <w:ilvl w:val="0"/>
          <w:numId w:val="17"/>
        </w:numPr>
        <w:jc w:val="both"/>
        <w:rPr>
          <w:rFonts w:ascii="Gill Sans MT" w:hAnsi="Gill Sans MT"/>
        </w:rPr>
      </w:pPr>
      <w:r w:rsidRPr="00DF2018">
        <w:rPr>
          <w:rFonts w:ascii="Gill Sans MT" w:hAnsi="Gill Sans MT"/>
        </w:rPr>
        <w:lastRenderedPageBreak/>
        <w:t>Monitored for compliance with terms and conditions of county or state supervision (including but not limited to probation, parole, 1210 PC, mandatory supervision, post-release community supervision or pretrial release), including substance abuse monitoring.</w:t>
      </w:r>
    </w:p>
    <w:p w:rsidR="00DF2018" w:rsidRPr="00DF2018" w:rsidRDefault="00DF2018" w:rsidP="00D1367E">
      <w:pPr>
        <w:jc w:val="both"/>
        <w:rPr>
          <w:rFonts w:ascii="Gill Sans MT" w:hAnsi="Gill Sans MT"/>
        </w:rPr>
      </w:pPr>
      <w:r w:rsidRPr="00DF2018">
        <w:rPr>
          <w:rFonts w:ascii="Gill Sans MT" w:hAnsi="Gill Sans MT"/>
        </w:rPr>
        <w:t xml:space="preserve">Naltrexone long-acting injection always requires a Treatment Authorization Request (TAR) and may be obtained and billed only through </w:t>
      </w:r>
      <w:r>
        <w:rPr>
          <w:rFonts w:ascii="Gill Sans MT" w:hAnsi="Gill Sans MT"/>
        </w:rPr>
        <w:t xml:space="preserve">the specialty pharmacy network. </w:t>
      </w:r>
      <w:r w:rsidRPr="00DF2018">
        <w:rPr>
          <w:rFonts w:ascii="Gill Sans MT" w:hAnsi="Gill Sans MT"/>
        </w:rPr>
        <w:t>Medi-Cal also covers the following medications for the treatment of alcohol and opioid dependence and/or prevention of relapse: acamprosate, buprenorphine, buprenorphine/naloxone, disulfiram and oral naltrexone (a TAR is required for all but disulfiram and oral naltrexone). Opioid agonist treatment with methadone is available within an opioid treatment program.</w:t>
      </w:r>
    </w:p>
    <w:p w:rsidR="005A6293" w:rsidRPr="005A6293" w:rsidRDefault="000918E4" w:rsidP="00D1367E">
      <w:pPr>
        <w:jc w:val="both"/>
        <w:rPr>
          <w:rFonts w:ascii="Gill Sans MT" w:hAnsi="Gill Sans MT"/>
          <w:b/>
        </w:rPr>
      </w:pPr>
      <w:r w:rsidRPr="005A6293">
        <w:rPr>
          <w:rFonts w:ascii="Gill Sans MT" w:hAnsi="Gill Sans MT"/>
          <w:b/>
        </w:rPr>
        <w:t>CODING</w:t>
      </w:r>
    </w:p>
    <w:p w:rsidR="005A6293" w:rsidRPr="005A6293" w:rsidRDefault="005A6293" w:rsidP="00D1367E">
      <w:pPr>
        <w:jc w:val="both"/>
        <w:rPr>
          <w:rFonts w:ascii="Gill Sans MT" w:hAnsi="Gill Sans MT"/>
        </w:rPr>
      </w:pPr>
      <w:r w:rsidRPr="005A6293">
        <w:rPr>
          <w:rFonts w:ascii="Gill Sans MT" w:hAnsi="Gill Sans MT"/>
        </w:rPr>
        <w:t>The following codes for treatments and procedures applicable to this document are i</w:t>
      </w:r>
      <w:r>
        <w:rPr>
          <w:rFonts w:ascii="Gill Sans MT" w:hAnsi="Gill Sans MT"/>
        </w:rPr>
        <w:t xml:space="preserve">ncluded below for informational </w:t>
      </w:r>
      <w:r w:rsidRPr="005A6293">
        <w:rPr>
          <w:rFonts w:ascii="Gill Sans MT" w:hAnsi="Gill Sans MT"/>
        </w:rPr>
        <w:t>purposes. Inclusion or exclusion of a procedure, diagnosis or device code(s) does not constitute or imply coverage</w:t>
      </w:r>
      <w:r>
        <w:rPr>
          <w:rFonts w:ascii="Gill Sans MT" w:hAnsi="Gill Sans MT"/>
        </w:rPr>
        <w:t xml:space="preserve">.  Refer to the client’s coverage in effect at the time of </w:t>
      </w:r>
      <w:r w:rsidRPr="005A6293">
        <w:rPr>
          <w:rFonts w:ascii="Gill Sans MT" w:hAnsi="Gill Sans MT"/>
        </w:rPr>
        <w:t>service to determine coverage or non-coverage of these services as it</w:t>
      </w:r>
      <w:r w:rsidR="00DF2018">
        <w:rPr>
          <w:rFonts w:ascii="Gill Sans MT" w:hAnsi="Gill Sans MT"/>
        </w:rPr>
        <w:t xml:space="preserve"> applies to the individual</w:t>
      </w:r>
      <w:r w:rsidRPr="005A6293">
        <w:rPr>
          <w:rFonts w:ascii="Gill Sans MT" w:hAnsi="Gill Sans MT"/>
        </w:rPr>
        <w:t>.</w:t>
      </w:r>
    </w:p>
    <w:p w:rsidR="005A6293" w:rsidRPr="005A6293" w:rsidRDefault="005A6293" w:rsidP="00D1367E">
      <w:pPr>
        <w:spacing w:after="0" w:line="240" w:lineRule="auto"/>
        <w:jc w:val="both"/>
        <w:rPr>
          <w:rFonts w:ascii="Gill Sans MT" w:hAnsi="Gill Sans MT"/>
          <w:u w:val="single"/>
        </w:rPr>
      </w:pPr>
      <w:r w:rsidRPr="005A6293">
        <w:rPr>
          <w:rFonts w:ascii="Gill Sans MT" w:hAnsi="Gill Sans MT"/>
          <w:u w:val="single"/>
        </w:rPr>
        <w:t>HCPCS</w:t>
      </w:r>
    </w:p>
    <w:p w:rsidR="000D5BD9" w:rsidRDefault="005A6293" w:rsidP="00D1367E">
      <w:pPr>
        <w:spacing w:after="0" w:line="240" w:lineRule="auto"/>
        <w:jc w:val="both"/>
        <w:rPr>
          <w:rFonts w:ascii="Gill Sans MT" w:hAnsi="Gill Sans MT"/>
        </w:rPr>
      </w:pPr>
      <w:r w:rsidRPr="005A6293">
        <w:rPr>
          <w:rFonts w:ascii="Gill Sans MT" w:hAnsi="Gill Sans MT"/>
        </w:rPr>
        <w:t>J2315 Injection, naltrexone, depot form, 1 mg [Vivitrol®]</w:t>
      </w:r>
    </w:p>
    <w:p w:rsidR="00A7411B" w:rsidRDefault="00A7411B" w:rsidP="00D1367E">
      <w:pPr>
        <w:spacing w:after="0" w:line="240" w:lineRule="auto"/>
        <w:jc w:val="both"/>
        <w:rPr>
          <w:rFonts w:ascii="Gill Sans MT" w:hAnsi="Gill Sans MT"/>
          <w:u w:val="single"/>
        </w:rPr>
      </w:pPr>
    </w:p>
    <w:p w:rsidR="005A6293" w:rsidRPr="00CD7020" w:rsidRDefault="005A6293" w:rsidP="00D1367E">
      <w:pPr>
        <w:spacing w:after="0" w:line="240" w:lineRule="auto"/>
        <w:jc w:val="both"/>
        <w:rPr>
          <w:rFonts w:ascii="Gill Sans MT" w:hAnsi="Gill Sans MT"/>
          <w:u w:val="single"/>
        </w:rPr>
      </w:pPr>
      <w:r w:rsidRPr="00CD7020">
        <w:rPr>
          <w:rFonts w:ascii="Gill Sans MT" w:hAnsi="Gill Sans MT"/>
          <w:u w:val="single"/>
        </w:rPr>
        <w:t>ICD-9 Diagnosis [For dates of service prior to 10/01/2015]</w:t>
      </w:r>
    </w:p>
    <w:p w:rsidR="005A6293" w:rsidRPr="005A6293" w:rsidRDefault="005A6293" w:rsidP="00D1367E">
      <w:pPr>
        <w:spacing w:after="0" w:line="240" w:lineRule="auto"/>
        <w:jc w:val="both"/>
        <w:rPr>
          <w:rFonts w:ascii="Gill Sans MT" w:hAnsi="Gill Sans MT"/>
        </w:rPr>
      </w:pPr>
      <w:r w:rsidRPr="005A6293">
        <w:rPr>
          <w:rFonts w:ascii="Gill Sans MT" w:hAnsi="Gill Sans MT"/>
        </w:rPr>
        <w:t>291.0-291.9 Alcohol induced mental disorders</w:t>
      </w:r>
    </w:p>
    <w:p w:rsidR="005A6293" w:rsidRPr="005A6293" w:rsidRDefault="005A6293" w:rsidP="00D1367E">
      <w:pPr>
        <w:spacing w:after="0" w:line="240" w:lineRule="auto"/>
        <w:jc w:val="both"/>
        <w:rPr>
          <w:rFonts w:ascii="Gill Sans MT" w:hAnsi="Gill Sans MT"/>
        </w:rPr>
      </w:pPr>
      <w:r w:rsidRPr="005A6293">
        <w:rPr>
          <w:rFonts w:ascii="Gill Sans MT" w:hAnsi="Gill Sans MT"/>
        </w:rPr>
        <w:t>292.0-292.9 Drug-induced mental disorders</w:t>
      </w:r>
    </w:p>
    <w:p w:rsidR="005A6293" w:rsidRPr="005A6293" w:rsidRDefault="005A6293" w:rsidP="00D1367E">
      <w:pPr>
        <w:spacing w:after="0" w:line="240" w:lineRule="auto"/>
        <w:jc w:val="both"/>
        <w:rPr>
          <w:rFonts w:ascii="Gill Sans MT" w:hAnsi="Gill Sans MT"/>
        </w:rPr>
      </w:pPr>
      <w:r w:rsidRPr="005A6293">
        <w:rPr>
          <w:rFonts w:ascii="Gill Sans MT" w:hAnsi="Gill Sans MT"/>
        </w:rPr>
        <w:t>303.00-303.03 Acute alcoholic intoxication</w:t>
      </w:r>
    </w:p>
    <w:p w:rsidR="005A6293" w:rsidRPr="005A6293" w:rsidRDefault="005A6293" w:rsidP="00D1367E">
      <w:pPr>
        <w:spacing w:after="0" w:line="240" w:lineRule="auto"/>
        <w:jc w:val="both"/>
        <w:rPr>
          <w:rFonts w:ascii="Gill Sans MT" w:hAnsi="Gill Sans MT"/>
        </w:rPr>
      </w:pPr>
      <w:r w:rsidRPr="005A6293">
        <w:rPr>
          <w:rFonts w:ascii="Gill Sans MT" w:hAnsi="Gill Sans MT"/>
        </w:rPr>
        <w:t>303.90-303.93 Other and unspecified alcohol dependence</w:t>
      </w:r>
    </w:p>
    <w:p w:rsidR="005A6293" w:rsidRPr="005A6293" w:rsidRDefault="005A6293" w:rsidP="00D1367E">
      <w:pPr>
        <w:spacing w:after="0" w:line="240" w:lineRule="auto"/>
        <w:jc w:val="both"/>
        <w:rPr>
          <w:rFonts w:ascii="Gill Sans MT" w:hAnsi="Gill Sans MT"/>
        </w:rPr>
      </w:pPr>
      <w:r w:rsidRPr="005A6293">
        <w:rPr>
          <w:rFonts w:ascii="Gill Sans MT" w:hAnsi="Gill Sans MT"/>
        </w:rPr>
        <w:t>304.00-304.03 Drug dependence; opioid type dependence</w:t>
      </w:r>
    </w:p>
    <w:p w:rsidR="005A6293" w:rsidRPr="005A6293" w:rsidRDefault="005A6293" w:rsidP="00D1367E">
      <w:pPr>
        <w:spacing w:after="0" w:line="240" w:lineRule="auto"/>
        <w:jc w:val="both"/>
        <w:rPr>
          <w:rFonts w:ascii="Gill Sans MT" w:hAnsi="Gill Sans MT"/>
        </w:rPr>
      </w:pPr>
      <w:r w:rsidRPr="005A6293">
        <w:rPr>
          <w:rFonts w:ascii="Gill Sans MT" w:hAnsi="Gill Sans MT"/>
        </w:rPr>
        <w:t>304.70-304.73 Drug dependence, combinations of opioid type drug with any other</w:t>
      </w:r>
    </w:p>
    <w:p w:rsidR="005A6293" w:rsidRPr="005A6293" w:rsidRDefault="005A6293" w:rsidP="00D1367E">
      <w:pPr>
        <w:spacing w:after="0" w:line="240" w:lineRule="auto"/>
        <w:jc w:val="both"/>
        <w:rPr>
          <w:rFonts w:ascii="Gill Sans MT" w:hAnsi="Gill Sans MT"/>
        </w:rPr>
      </w:pPr>
      <w:r w:rsidRPr="005A6293">
        <w:rPr>
          <w:rFonts w:ascii="Gill Sans MT" w:hAnsi="Gill Sans MT"/>
        </w:rPr>
        <w:t>V11.3 Personal history of mental disorder; alcoholism</w:t>
      </w:r>
    </w:p>
    <w:p w:rsidR="00A7411B" w:rsidRDefault="00A7411B" w:rsidP="00D1367E">
      <w:pPr>
        <w:spacing w:after="0" w:line="240" w:lineRule="auto"/>
        <w:jc w:val="both"/>
        <w:rPr>
          <w:rFonts w:ascii="Gill Sans MT" w:hAnsi="Gill Sans MT"/>
          <w:u w:val="single"/>
        </w:rPr>
      </w:pPr>
    </w:p>
    <w:p w:rsidR="005A6293" w:rsidRPr="00CD7020" w:rsidRDefault="005A6293" w:rsidP="00D1367E">
      <w:pPr>
        <w:spacing w:after="0" w:line="240" w:lineRule="auto"/>
        <w:jc w:val="both"/>
        <w:rPr>
          <w:rFonts w:ascii="Gill Sans MT" w:hAnsi="Gill Sans MT"/>
          <w:u w:val="single"/>
        </w:rPr>
      </w:pPr>
      <w:r w:rsidRPr="00CD7020">
        <w:rPr>
          <w:rFonts w:ascii="Gill Sans MT" w:hAnsi="Gill Sans MT"/>
          <w:u w:val="single"/>
        </w:rPr>
        <w:t>ICD-10 Diagnosis [For dates of service on or after 10/01/2015]</w:t>
      </w:r>
    </w:p>
    <w:p w:rsidR="005A6293" w:rsidRPr="005A6293" w:rsidRDefault="005A6293" w:rsidP="00D1367E">
      <w:pPr>
        <w:spacing w:after="0" w:line="240" w:lineRule="auto"/>
        <w:jc w:val="both"/>
        <w:rPr>
          <w:rFonts w:ascii="Gill Sans MT" w:hAnsi="Gill Sans MT"/>
        </w:rPr>
      </w:pPr>
      <w:r w:rsidRPr="005A6293">
        <w:rPr>
          <w:rFonts w:ascii="Gill Sans MT" w:hAnsi="Gill Sans MT"/>
        </w:rPr>
        <w:t>F10.20-F10.29 Alcohol dependence</w:t>
      </w:r>
    </w:p>
    <w:p w:rsidR="005A6293" w:rsidRPr="005A6293" w:rsidRDefault="005A6293" w:rsidP="00D1367E">
      <w:pPr>
        <w:spacing w:after="0" w:line="240" w:lineRule="auto"/>
        <w:jc w:val="both"/>
        <w:rPr>
          <w:rFonts w:ascii="Gill Sans MT" w:hAnsi="Gill Sans MT"/>
        </w:rPr>
      </w:pPr>
      <w:r w:rsidRPr="005A6293">
        <w:rPr>
          <w:rFonts w:ascii="Gill Sans MT" w:hAnsi="Gill Sans MT"/>
        </w:rPr>
        <w:t>F11.20-F11.29 Opioid dependence</w:t>
      </w:r>
    </w:p>
    <w:p w:rsidR="005A6293" w:rsidRDefault="005A6293" w:rsidP="00D1367E">
      <w:pPr>
        <w:spacing w:after="0" w:line="240" w:lineRule="auto"/>
        <w:jc w:val="both"/>
        <w:rPr>
          <w:rFonts w:ascii="Gill Sans MT" w:hAnsi="Gill Sans MT"/>
        </w:rPr>
      </w:pPr>
      <w:r w:rsidRPr="005A6293">
        <w:rPr>
          <w:rFonts w:ascii="Gill Sans MT" w:hAnsi="Gill Sans MT"/>
        </w:rPr>
        <w:t>Z71.41 Alcohol abuse counseling and surveillance of alcoholic</w:t>
      </w:r>
    </w:p>
    <w:p w:rsidR="000A15E1" w:rsidRDefault="000A15E1" w:rsidP="00D1367E">
      <w:pPr>
        <w:jc w:val="both"/>
        <w:rPr>
          <w:rFonts w:ascii="Gill Sans MT" w:hAnsi="Gill Sans MT"/>
          <w:b/>
        </w:rPr>
      </w:pPr>
    </w:p>
    <w:p w:rsidR="00CD7020" w:rsidRPr="00CD7020" w:rsidRDefault="00CD7020" w:rsidP="00D1367E">
      <w:pPr>
        <w:jc w:val="both"/>
        <w:rPr>
          <w:rFonts w:ascii="Gill Sans MT" w:hAnsi="Gill Sans MT"/>
          <w:b/>
        </w:rPr>
      </w:pPr>
      <w:r w:rsidRPr="00CD7020">
        <w:rPr>
          <w:rFonts w:ascii="Gill Sans MT" w:hAnsi="Gill Sans MT"/>
          <w:b/>
        </w:rPr>
        <w:t>REFERENCES</w:t>
      </w:r>
    </w:p>
    <w:p w:rsidR="00AA6516" w:rsidRPr="000A15E1" w:rsidRDefault="00AA6516" w:rsidP="00D1367E">
      <w:pPr>
        <w:pStyle w:val="ListParagraph"/>
        <w:numPr>
          <w:ilvl w:val="0"/>
          <w:numId w:val="12"/>
        </w:numPr>
        <w:jc w:val="both"/>
        <w:rPr>
          <w:rFonts w:ascii="Gill Sans MT" w:hAnsi="Gill Sans MT"/>
          <w:sz w:val="20"/>
        </w:rPr>
      </w:pPr>
      <w:r w:rsidRPr="000A15E1">
        <w:rPr>
          <w:rFonts w:ascii="Gill Sans MT" w:hAnsi="Gill Sans MT"/>
          <w:sz w:val="20"/>
        </w:rPr>
        <w:t xml:space="preserve">American Association for the Treatment of Opioid </w:t>
      </w:r>
      <w:r w:rsidR="003E618B" w:rsidRPr="000A15E1">
        <w:rPr>
          <w:rFonts w:ascii="Gill Sans MT" w:hAnsi="Gill Sans MT"/>
          <w:sz w:val="20"/>
        </w:rPr>
        <w:t>Dependence</w:t>
      </w:r>
      <w:r w:rsidRPr="000A15E1">
        <w:rPr>
          <w:rFonts w:ascii="Gill Sans MT" w:hAnsi="Gill Sans MT"/>
          <w:sz w:val="20"/>
        </w:rPr>
        <w:t xml:space="preserve">. </w:t>
      </w:r>
      <w:r w:rsidRPr="000A15E1">
        <w:rPr>
          <w:sz w:val="20"/>
        </w:rPr>
        <w:t xml:space="preserve"> </w:t>
      </w:r>
      <w:r w:rsidRPr="000A15E1">
        <w:rPr>
          <w:rFonts w:ascii="Gill Sans MT" w:hAnsi="Gill Sans MT"/>
          <w:sz w:val="20"/>
        </w:rPr>
        <w:t xml:space="preserve">AATOD Guidelines for Using Naltrexone (Vivitrol) in OTPs. </w:t>
      </w:r>
      <w:hyperlink r:id="rId8" w:history="1">
        <w:r w:rsidRPr="000A15E1">
          <w:rPr>
            <w:rStyle w:val="Hyperlink"/>
            <w:rFonts w:ascii="Gill Sans MT" w:hAnsi="Gill Sans MT"/>
            <w:sz w:val="20"/>
          </w:rPr>
          <w:t>http://www.aatod.org/policies/policy-statements/aatod-guidelines-for-using-naltrexone-vivitrol-in-otps/</w:t>
        </w:r>
      </w:hyperlink>
      <w:r w:rsidRPr="000A15E1">
        <w:rPr>
          <w:rFonts w:ascii="Gill Sans MT" w:hAnsi="Gill Sans MT"/>
          <w:sz w:val="20"/>
        </w:rPr>
        <w:t>. Accessed April 3, 2015.</w:t>
      </w:r>
    </w:p>
    <w:p w:rsidR="00D0284F" w:rsidRPr="000A15E1" w:rsidRDefault="00D0284F" w:rsidP="00D1367E">
      <w:pPr>
        <w:pStyle w:val="ListParagraph"/>
        <w:numPr>
          <w:ilvl w:val="0"/>
          <w:numId w:val="12"/>
        </w:numPr>
        <w:jc w:val="both"/>
        <w:rPr>
          <w:rFonts w:ascii="Gill Sans MT" w:hAnsi="Gill Sans MT"/>
          <w:sz w:val="20"/>
        </w:rPr>
      </w:pPr>
      <w:r w:rsidRPr="000A15E1">
        <w:rPr>
          <w:rFonts w:ascii="Gill Sans MT" w:hAnsi="Gill Sans MT"/>
          <w:sz w:val="20"/>
        </w:rPr>
        <w:t xml:space="preserve">Anthem </w:t>
      </w:r>
      <w:r w:rsidR="005730E9" w:rsidRPr="000A15E1">
        <w:rPr>
          <w:rFonts w:ascii="Gill Sans MT" w:hAnsi="Gill Sans MT"/>
          <w:sz w:val="20"/>
        </w:rPr>
        <w:t xml:space="preserve"> </w:t>
      </w:r>
      <w:r w:rsidRPr="000A15E1">
        <w:rPr>
          <w:rFonts w:ascii="Gill Sans MT" w:hAnsi="Gill Sans MT"/>
          <w:sz w:val="20"/>
        </w:rPr>
        <w:t>Guideline #: CG-DRUG-21</w:t>
      </w:r>
      <w:r w:rsidR="005730E9" w:rsidRPr="000A15E1">
        <w:rPr>
          <w:rFonts w:ascii="Gill Sans MT" w:hAnsi="Gill Sans MT"/>
          <w:sz w:val="20"/>
        </w:rPr>
        <w:t>.</w:t>
      </w:r>
      <w:r w:rsidRPr="000A15E1">
        <w:rPr>
          <w:rFonts w:ascii="Gill Sans MT" w:hAnsi="Gill Sans MT"/>
          <w:sz w:val="20"/>
        </w:rPr>
        <w:t xml:space="preserve"> </w:t>
      </w:r>
      <w:r w:rsidR="005730E9" w:rsidRPr="000A15E1">
        <w:rPr>
          <w:rFonts w:ascii="Gill Sans MT" w:hAnsi="Gill Sans MT"/>
          <w:sz w:val="20"/>
        </w:rPr>
        <w:t xml:space="preserve">Subject: Naltrexone (Vivitrol®) Injections for the Treatment of Alcohol and Opioid Dependence </w:t>
      </w:r>
      <w:r w:rsidRPr="000A15E1">
        <w:rPr>
          <w:rFonts w:ascii="Gill Sans MT" w:hAnsi="Gill Sans MT"/>
          <w:sz w:val="20"/>
        </w:rPr>
        <w:t>Current Effective Date: 04/15/2014</w:t>
      </w:r>
      <w:r w:rsidR="005730E9" w:rsidRPr="000A15E1">
        <w:rPr>
          <w:rFonts w:ascii="Gill Sans MT" w:hAnsi="Gill Sans MT"/>
          <w:sz w:val="20"/>
        </w:rPr>
        <w:t>.</w:t>
      </w:r>
    </w:p>
    <w:p w:rsidR="00AA6516" w:rsidRPr="000A15E1" w:rsidRDefault="00CD7020" w:rsidP="00D1367E">
      <w:pPr>
        <w:pStyle w:val="ListParagraph"/>
        <w:numPr>
          <w:ilvl w:val="0"/>
          <w:numId w:val="12"/>
        </w:numPr>
        <w:jc w:val="both"/>
        <w:rPr>
          <w:rFonts w:ascii="Gill Sans MT" w:hAnsi="Gill Sans MT"/>
          <w:sz w:val="20"/>
        </w:rPr>
      </w:pPr>
      <w:r w:rsidRPr="000A15E1">
        <w:rPr>
          <w:rFonts w:ascii="Gill Sans MT" w:hAnsi="Gill Sans MT"/>
          <w:sz w:val="20"/>
        </w:rPr>
        <w:t>National Institutes of Health (NIH) National Institute on Alcohol Abuse and Alcoholism (NIAAA): Naltrexone or</w:t>
      </w:r>
      <w:r w:rsidR="00AA6516" w:rsidRPr="000A15E1">
        <w:rPr>
          <w:rFonts w:ascii="Gill Sans MT" w:hAnsi="Gill Sans MT"/>
          <w:sz w:val="20"/>
        </w:rPr>
        <w:t xml:space="preserve"> </w:t>
      </w:r>
      <w:r w:rsidRPr="000A15E1">
        <w:rPr>
          <w:rFonts w:ascii="Gill Sans MT" w:hAnsi="Gill Sans MT"/>
          <w:sz w:val="20"/>
        </w:rPr>
        <w:t>specialized alcohol counseling an effective treatment for alcohol dependence when delivered with medical</w:t>
      </w:r>
      <w:r w:rsidR="00AA6516" w:rsidRPr="000A15E1">
        <w:rPr>
          <w:rFonts w:ascii="Gill Sans MT" w:hAnsi="Gill Sans MT"/>
          <w:sz w:val="20"/>
        </w:rPr>
        <w:t xml:space="preserve"> </w:t>
      </w:r>
      <w:r w:rsidRPr="000A15E1">
        <w:rPr>
          <w:rFonts w:ascii="Gill Sans MT" w:hAnsi="Gill Sans MT"/>
          <w:sz w:val="20"/>
        </w:rPr>
        <w:t xml:space="preserve">management. Available at: </w:t>
      </w:r>
      <w:hyperlink r:id="rId9" w:history="1">
        <w:r w:rsidRPr="000A15E1">
          <w:rPr>
            <w:rStyle w:val="Hyperlink"/>
            <w:rFonts w:ascii="Gill Sans MT" w:hAnsi="Gill Sans MT"/>
            <w:sz w:val="20"/>
          </w:rPr>
          <w:t>http://www.nih.gov/news/pr/may2006/niaaa-02.htm</w:t>
        </w:r>
      </w:hyperlink>
      <w:r w:rsidRPr="000A15E1">
        <w:rPr>
          <w:rFonts w:ascii="Gill Sans MT" w:hAnsi="Gill Sans MT"/>
          <w:sz w:val="20"/>
        </w:rPr>
        <w:t>.  Accessed on April 3, 2015</w:t>
      </w:r>
      <w:r w:rsidR="00AA6516" w:rsidRPr="000A15E1">
        <w:rPr>
          <w:rFonts w:ascii="Gill Sans MT" w:hAnsi="Gill Sans MT"/>
          <w:sz w:val="20"/>
        </w:rPr>
        <w:t>.</w:t>
      </w:r>
    </w:p>
    <w:p w:rsidR="00840C1A" w:rsidRPr="000A15E1" w:rsidRDefault="00CD7020" w:rsidP="00D1367E">
      <w:pPr>
        <w:pStyle w:val="ListParagraph"/>
        <w:numPr>
          <w:ilvl w:val="0"/>
          <w:numId w:val="12"/>
        </w:numPr>
        <w:jc w:val="both"/>
        <w:rPr>
          <w:rFonts w:ascii="Gill Sans MT" w:hAnsi="Gill Sans MT"/>
          <w:sz w:val="20"/>
        </w:rPr>
      </w:pPr>
      <w:r w:rsidRPr="000A15E1">
        <w:rPr>
          <w:rFonts w:ascii="Gill Sans MT" w:hAnsi="Gill Sans MT"/>
          <w:sz w:val="20"/>
        </w:rPr>
        <w:t>Substance Abuse and Mental H</w:t>
      </w:r>
      <w:r w:rsidR="00AA6516" w:rsidRPr="000A15E1">
        <w:rPr>
          <w:rFonts w:ascii="Gill Sans MT" w:hAnsi="Gill Sans MT"/>
          <w:sz w:val="20"/>
        </w:rPr>
        <w:t xml:space="preserve">ealth Services Administration </w:t>
      </w:r>
      <w:r w:rsidRPr="000A15E1">
        <w:rPr>
          <w:rFonts w:ascii="Gill Sans MT" w:hAnsi="Gill Sans MT"/>
          <w:sz w:val="20"/>
        </w:rPr>
        <w:t>(SAMHSA)</w:t>
      </w:r>
      <w:r w:rsidR="00AA6516" w:rsidRPr="000A15E1">
        <w:rPr>
          <w:rFonts w:ascii="Gill Sans MT" w:hAnsi="Gill Sans MT"/>
          <w:sz w:val="20"/>
        </w:rPr>
        <w:t xml:space="preserve"> Medication-Assisted Treatment for Substance Use</w:t>
      </w:r>
      <w:r w:rsidRPr="000A15E1">
        <w:rPr>
          <w:rFonts w:ascii="Gill Sans MT" w:hAnsi="Gill Sans MT"/>
          <w:sz w:val="20"/>
        </w:rPr>
        <w:t>. Available at:</w:t>
      </w:r>
      <w:r w:rsidR="00AA6516" w:rsidRPr="000A15E1">
        <w:rPr>
          <w:rFonts w:ascii="Gill Sans MT" w:hAnsi="Gill Sans MT"/>
          <w:sz w:val="20"/>
        </w:rPr>
        <w:t xml:space="preserve"> </w:t>
      </w:r>
      <w:hyperlink r:id="rId10" w:history="1">
        <w:r w:rsidRPr="000A15E1">
          <w:rPr>
            <w:rStyle w:val="Hyperlink"/>
            <w:rFonts w:ascii="Gill Sans MT" w:hAnsi="Gill Sans MT"/>
            <w:sz w:val="20"/>
          </w:rPr>
          <w:t>http://www.dpt.samhsa.gov/medications/naltrexone.aspx</w:t>
        </w:r>
      </w:hyperlink>
      <w:r w:rsidRPr="000A15E1">
        <w:rPr>
          <w:rFonts w:ascii="Gill Sans MT" w:hAnsi="Gill Sans MT"/>
          <w:sz w:val="20"/>
        </w:rPr>
        <w:t>. Accessed on April 3, 2015.</w:t>
      </w:r>
    </w:p>
    <w:p w:rsidR="00D357E9" w:rsidRPr="000A15E1" w:rsidRDefault="00D357E9" w:rsidP="00D1367E">
      <w:pPr>
        <w:pStyle w:val="ListParagraph"/>
        <w:numPr>
          <w:ilvl w:val="0"/>
          <w:numId w:val="12"/>
        </w:numPr>
        <w:jc w:val="both"/>
        <w:rPr>
          <w:rFonts w:ascii="Gill Sans MT" w:hAnsi="Gill Sans MT"/>
          <w:sz w:val="20"/>
        </w:rPr>
      </w:pPr>
      <w:r w:rsidRPr="000A15E1">
        <w:rPr>
          <w:rFonts w:ascii="Gill Sans MT" w:hAnsi="Gill Sans MT"/>
          <w:sz w:val="20"/>
        </w:rPr>
        <w:t>Substance Abuse and Mental Health Services Administration and National Institute on Alcohol Abuse and Alcoholism, Medication for the Treatment of Alcohol Use Disorder: A Brief Guide. HHS Publication No. (SMA) 15-4907. Rockville, MD: Substance Abuse and Mental Health Services Administration, 2015.</w:t>
      </w:r>
    </w:p>
    <w:p w:rsidR="00011538" w:rsidRPr="000A15E1" w:rsidRDefault="004F29D3" w:rsidP="00D1367E">
      <w:pPr>
        <w:pStyle w:val="ListParagraph"/>
        <w:numPr>
          <w:ilvl w:val="0"/>
          <w:numId w:val="12"/>
        </w:numPr>
        <w:jc w:val="both"/>
        <w:rPr>
          <w:rFonts w:ascii="Gill Sans MT" w:hAnsi="Gill Sans MT"/>
          <w:sz w:val="20"/>
        </w:rPr>
      </w:pPr>
      <w:r w:rsidRPr="000A15E1">
        <w:rPr>
          <w:rFonts w:ascii="Gill Sans MT" w:hAnsi="Gill Sans MT"/>
          <w:sz w:val="20"/>
        </w:rPr>
        <w:t>Tsai, G</w:t>
      </w:r>
      <w:r w:rsidR="00011538" w:rsidRPr="000A15E1">
        <w:rPr>
          <w:rFonts w:ascii="Gill Sans MT" w:hAnsi="Gill Sans MT"/>
          <w:sz w:val="20"/>
        </w:rPr>
        <w:t>. Medication-Assisted Treatment: Overview and Evidence. UCLA-SAPC Lecture Series. March 23, 2015.</w:t>
      </w:r>
    </w:p>
    <w:sectPr w:rsidR="00011538" w:rsidRPr="000A15E1" w:rsidSect="00197232">
      <w:headerReference w:type="default" r:id="rId11"/>
      <w:footerReference w:type="default" r:id="rId12"/>
      <w:pgSz w:w="12240" w:h="15840"/>
      <w:pgMar w:top="720" w:right="720" w:bottom="720" w:left="720" w:header="720" w:footer="4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8C7" w:rsidRDefault="001368C7" w:rsidP="00B4197F">
      <w:pPr>
        <w:spacing w:after="0" w:line="240" w:lineRule="auto"/>
      </w:pPr>
      <w:r>
        <w:separator/>
      </w:r>
    </w:p>
  </w:endnote>
  <w:endnote w:type="continuationSeparator" w:id="0">
    <w:p w:rsidR="001368C7" w:rsidRDefault="001368C7" w:rsidP="00B4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060272"/>
      <w:docPartObj>
        <w:docPartGallery w:val="Page Numbers (Bottom of Page)"/>
        <w:docPartUnique/>
      </w:docPartObj>
    </w:sdtPr>
    <w:sdtEndPr/>
    <w:sdtContent>
      <w:sdt>
        <w:sdtPr>
          <w:id w:val="98381352"/>
          <w:docPartObj>
            <w:docPartGallery w:val="Page Numbers (Top of Page)"/>
            <w:docPartUnique/>
          </w:docPartObj>
        </w:sdtPr>
        <w:sdtEndPr/>
        <w:sdtContent>
          <w:p w:rsidR="00197232" w:rsidRDefault="00197232" w:rsidP="00197232">
            <w:pPr>
              <w:pStyle w:val="Footer"/>
              <w:jc w:val="center"/>
            </w:pPr>
            <w:r w:rsidRPr="00197232">
              <w:rPr>
                <w:rFonts w:ascii="Gill Sans MT" w:hAnsi="Gill Sans MT"/>
              </w:rPr>
              <w:t xml:space="preserve">Page </w:t>
            </w:r>
            <w:r w:rsidRPr="00197232">
              <w:rPr>
                <w:rFonts w:ascii="Gill Sans MT" w:hAnsi="Gill Sans MT"/>
                <w:bCs/>
                <w:sz w:val="24"/>
                <w:szCs w:val="24"/>
              </w:rPr>
              <w:fldChar w:fldCharType="begin"/>
            </w:r>
            <w:r w:rsidRPr="00197232">
              <w:rPr>
                <w:rFonts w:ascii="Gill Sans MT" w:hAnsi="Gill Sans MT"/>
                <w:bCs/>
              </w:rPr>
              <w:instrText xml:space="preserve"> PAGE </w:instrText>
            </w:r>
            <w:r w:rsidRPr="00197232">
              <w:rPr>
                <w:rFonts w:ascii="Gill Sans MT" w:hAnsi="Gill Sans MT"/>
                <w:bCs/>
                <w:sz w:val="24"/>
                <w:szCs w:val="24"/>
              </w:rPr>
              <w:fldChar w:fldCharType="separate"/>
            </w:r>
            <w:r w:rsidR="008458D9">
              <w:rPr>
                <w:rFonts w:ascii="Gill Sans MT" w:hAnsi="Gill Sans MT"/>
                <w:bCs/>
                <w:noProof/>
              </w:rPr>
              <w:t>6</w:t>
            </w:r>
            <w:r w:rsidRPr="00197232">
              <w:rPr>
                <w:rFonts w:ascii="Gill Sans MT" w:hAnsi="Gill Sans MT"/>
                <w:bCs/>
                <w:sz w:val="24"/>
                <w:szCs w:val="24"/>
              </w:rPr>
              <w:fldChar w:fldCharType="end"/>
            </w:r>
            <w:r w:rsidRPr="00197232">
              <w:rPr>
                <w:rFonts w:ascii="Gill Sans MT" w:hAnsi="Gill Sans MT"/>
              </w:rPr>
              <w:t xml:space="preserve"> of </w:t>
            </w:r>
            <w:r w:rsidRPr="00197232">
              <w:rPr>
                <w:rFonts w:ascii="Gill Sans MT" w:hAnsi="Gill Sans MT"/>
                <w:bCs/>
                <w:sz w:val="24"/>
                <w:szCs w:val="24"/>
              </w:rPr>
              <w:fldChar w:fldCharType="begin"/>
            </w:r>
            <w:r w:rsidRPr="00197232">
              <w:rPr>
                <w:rFonts w:ascii="Gill Sans MT" w:hAnsi="Gill Sans MT"/>
                <w:bCs/>
              </w:rPr>
              <w:instrText xml:space="preserve"> NUMPAGES  </w:instrText>
            </w:r>
            <w:r w:rsidRPr="00197232">
              <w:rPr>
                <w:rFonts w:ascii="Gill Sans MT" w:hAnsi="Gill Sans MT"/>
                <w:bCs/>
                <w:sz w:val="24"/>
                <w:szCs w:val="24"/>
              </w:rPr>
              <w:fldChar w:fldCharType="separate"/>
            </w:r>
            <w:r w:rsidR="008458D9">
              <w:rPr>
                <w:rFonts w:ascii="Gill Sans MT" w:hAnsi="Gill Sans MT"/>
                <w:bCs/>
                <w:noProof/>
              </w:rPr>
              <w:t>6</w:t>
            </w:r>
            <w:r w:rsidRPr="00197232">
              <w:rPr>
                <w:rFonts w:ascii="Gill Sans MT" w:hAnsi="Gill Sans MT"/>
                <w:bCs/>
                <w:sz w:val="24"/>
                <w:szCs w:val="24"/>
              </w:rPr>
              <w:fldChar w:fldCharType="end"/>
            </w:r>
          </w:p>
        </w:sdtContent>
      </w:sdt>
    </w:sdtContent>
  </w:sdt>
  <w:p w:rsidR="00A15694" w:rsidRPr="00197232" w:rsidRDefault="00AA2AA4" w:rsidP="00840C1A">
    <w:pPr>
      <w:pStyle w:val="Footer"/>
      <w:jc w:val="center"/>
      <w:rPr>
        <w:rFonts w:ascii="Gill Sans MT" w:hAnsi="Gill Sans MT"/>
      </w:rPr>
    </w:pPr>
    <w:r>
      <w:rPr>
        <w:rFonts w:ascii="Gill Sans MT" w:hAnsi="Gill Sans MT"/>
      </w:rPr>
      <w:t>September 14</w:t>
    </w:r>
    <w:r w:rsidR="00197232" w:rsidRPr="00197232">
      <w:rPr>
        <w:rFonts w:ascii="Gill Sans MT" w:hAnsi="Gill Sans MT"/>
      </w:rPr>
      <w:t>,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8C7" w:rsidRDefault="001368C7" w:rsidP="00B4197F">
      <w:pPr>
        <w:spacing w:after="0" w:line="240" w:lineRule="auto"/>
      </w:pPr>
      <w:r>
        <w:separator/>
      </w:r>
    </w:p>
  </w:footnote>
  <w:footnote w:type="continuationSeparator" w:id="0">
    <w:p w:rsidR="001368C7" w:rsidRDefault="001368C7" w:rsidP="00B41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A2E" w:rsidRDefault="000D5BD9" w:rsidP="00AF6A2E">
    <w:pPr>
      <w:pStyle w:val="Header"/>
      <w:tabs>
        <w:tab w:val="left" w:pos="2040"/>
      </w:tabs>
      <w:jc w:val="right"/>
      <w:rPr>
        <w:color w:val="9BBB59" w:themeColor="accent3"/>
        <w:sz w:val="24"/>
      </w:rPr>
    </w:pPr>
    <w:r>
      <w:rPr>
        <w:color w:val="9BBB59" w:themeColor="accent3"/>
        <w:sz w:val="24"/>
      </w:rPr>
      <w:t xml:space="preserve">Injectable </w:t>
    </w:r>
    <w:r w:rsidR="00AF6A2E" w:rsidRPr="00AF6A2E">
      <w:rPr>
        <w:color w:val="9BBB59" w:themeColor="accent3"/>
        <w:sz w:val="24"/>
      </w:rPr>
      <w:t>Na</w:t>
    </w:r>
    <w:r w:rsidR="00AF6A2E">
      <w:rPr>
        <w:color w:val="9BBB59" w:themeColor="accent3"/>
        <w:sz w:val="24"/>
      </w:rPr>
      <w:t xml:space="preserve">ltrexone (Vivitrol®) </w:t>
    </w:r>
    <w:r w:rsidR="00AF6A2E" w:rsidRPr="00AF6A2E">
      <w:rPr>
        <w:color w:val="9BBB59" w:themeColor="accent3"/>
        <w:sz w:val="24"/>
      </w:rPr>
      <w:t>for the Treatment of Alcohol and Opioid Dependence</w:t>
    </w:r>
  </w:p>
  <w:p w:rsidR="00B4197F" w:rsidRPr="00B4197F" w:rsidRDefault="00D526A4" w:rsidP="00AF6A2E">
    <w:pPr>
      <w:pStyle w:val="Header"/>
      <w:tabs>
        <w:tab w:val="left" w:pos="2040"/>
      </w:tabs>
      <w:jc w:val="right"/>
      <w:rPr>
        <w:b/>
        <w:sz w:val="24"/>
      </w:rPr>
    </w:pPr>
    <w:r>
      <w:rPr>
        <w:b/>
        <w:sz w:val="24"/>
      </w:rPr>
      <w:tab/>
    </w:r>
    <w:r>
      <w:rPr>
        <w:b/>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96080"/>
    <w:multiLevelType w:val="hybridMultilevel"/>
    <w:tmpl w:val="900E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F2631"/>
    <w:multiLevelType w:val="hybridMultilevel"/>
    <w:tmpl w:val="5A0C0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90CFE"/>
    <w:multiLevelType w:val="hybridMultilevel"/>
    <w:tmpl w:val="387E84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07CB3"/>
    <w:multiLevelType w:val="hybridMultilevel"/>
    <w:tmpl w:val="83BC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D4F96"/>
    <w:multiLevelType w:val="hybridMultilevel"/>
    <w:tmpl w:val="E3A49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622CB"/>
    <w:multiLevelType w:val="hybridMultilevel"/>
    <w:tmpl w:val="0C7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77988"/>
    <w:multiLevelType w:val="hybridMultilevel"/>
    <w:tmpl w:val="B260B7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542C2D"/>
    <w:multiLevelType w:val="hybridMultilevel"/>
    <w:tmpl w:val="A7805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A02949"/>
    <w:multiLevelType w:val="hybridMultilevel"/>
    <w:tmpl w:val="2438C1DC"/>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9" w15:restartNumberingAfterBreak="0">
    <w:nsid w:val="39041FFC"/>
    <w:multiLevelType w:val="hybridMultilevel"/>
    <w:tmpl w:val="8F16AAB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0" w15:restartNumberingAfterBreak="0">
    <w:nsid w:val="3A9F1EC4"/>
    <w:multiLevelType w:val="hybridMultilevel"/>
    <w:tmpl w:val="F0AA6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AD0AEB"/>
    <w:multiLevelType w:val="hybridMultilevel"/>
    <w:tmpl w:val="CFE07F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B37A31"/>
    <w:multiLevelType w:val="hybridMultilevel"/>
    <w:tmpl w:val="C4F804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9D7FD6"/>
    <w:multiLevelType w:val="hybridMultilevel"/>
    <w:tmpl w:val="D81C4C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B145478"/>
    <w:multiLevelType w:val="hybridMultilevel"/>
    <w:tmpl w:val="A692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801552"/>
    <w:multiLevelType w:val="hybridMultilevel"/>
    <w:tmpl w:val="1F26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D12EB0"/>
    <w:multiLevelType w:val="hybridMultilevel"/>
    <w:tmpl w:val="3948F9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1A87808"/>
    <w:multiLevelType w:val="hybridMultilevel"/>
    <w:tmpl w:val="4AD8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0"/>
  </w:num>
  <w:num w:numId="5">
    <w:abstractNumId w:val="12"/>
  </w:num>
  <w:num w:numId="6">
    <w:abstractNumId w:val="16"/>
  </w:num>
  <w:num w:numId="7">
    <w:abstractNumId w:val="11"/>
  </w:num>
  <w:num w:numId="8">
    <w:abstractNumId w:val="8"/>
  </w:num>
  <w:num w:numId="9">
    <w:abstractNumId w:val="4"/>
  </w:num>
  <w:num w:numId="10">
    <w:abstractNumId w:val="0"/>
  </w:num>
  <w:num w:numId="11">
    <w:abstractNumId w:val="14"/>
  </w:num>
  <w:num w:numId="12">
    <w:abstractNumId w:val="13"/>
  </w:num>
  <w:num w:numId="13">
    <w:abstractNumId w:val="5"/>
  </w:num>
  <w:num w:numId="14">
    <w:abstractNumId w:val="17"/>
  </w:num>
  <w:num w:numId="15">
    <w:abstractNumId w:val="3"/>
  </w:num>
  <w:num w:numId="16">
    <w:abstractNumId w:val="15"/>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97F"/>
    <w:rsid w:val="00011538"/>
    <w:rsid w:val="00011DA4"/>
    <w:rsid w:val="00032FF8"/>
    <w:rsid w:val="000742B1"/>
    <w:rsid w:val="000918E4"/>
    <w:rsid w:val="000920D1"/>
    <w:rsid w:val="000A15E1"/>
    <w:rsid w:val="000B1050"/>
    <w:rsid w:val="000D5BD9"/>
    <w:rsid w:val="000E4F55"/>
    <w:rsid w:val="000E6DA2"/>
    <w:rsid w:val="00123229"/>
    <w:rsid w:val="001368C7"/>
    <w:rsid w:val="0014688D"/>
    <w:rsid w:val="00152A25"/>
    <w:rsid w:val="00153A99"/>
    <w:rsid w:val="00153D76"/>
    <w:rsid w:val="001849BF"/>
    <w:rsid w:val="00197232"/>
    <w:rsid w:val="001A2A6E"/>
    <w:rsid w:val="002829A9"/>
    <w:rsid w:val="002C73F8"/>
    <w:rsid w:val="002E08CD"/>
    <w:rsid w:val="003670EE"/>
    <w:rsid w:val="003E618B"/>
    <w:rsid w:val="00417767"/>
    <w:rsid w:val="00422458"/>
    <w:rsid w:val="004906D8"/>
    <w:rsid w:val="004C081C"/>
    <w:rsid w:val="004C76D3"/>
    <w:rsid w:val="004F29D3"/>
    <w:rsid w:val="004F490F"/>
    <w:rsid w:val="004F6D2A"/>
    <w:rsid w:val="004F7940"/>
    <w:rsid w:val="00500A91"/>
    <w:rsid w:val="00562C33"/>
    <w:rsid w:val="005730E9"/>
    <w:rsid w:val="00581D1C"/>
    <w:rsid w:val="0058285A"/>
    <w:rsid w:val="00597071"/>
    <w:rsid w:val="005A6293"/>
    <w:rsid w:val="005E74E2"/>
    <w:rsid w:val="005F21E2"/>
    <w:rsid w:val="005F727D"/>
    <w:rsid w:val="0062344F"/>
    <w:rsid w:val="006854BC"/>
    <w:rsid w:val="006A5D09"/>
    <w:rsid w:val="006D13AD"/>
    <w:rsid w:val="006F2879"/>
    <w:rsid w:val="00722410"/>
    <w:rsid w:val="00726874"/>
    <w:rsid w:val="0076077E"/>
    <w:rsid w:val="007B48EF"/>
    <w:rsid w:val="007C281F"/>
    <w:rsid w:val="007F41A9"/>
    <w:rsid w:val="0080739C"/>
    <w:rsid w:val="00807632"/>
    <w:rsid w:val="008153F6"/>
    <w:rsid w:val="00832965"/>
    <w:rsid w:val="00840C1A"/>
    <w:rsid w:val="008458D9"/>
    <w:rsid w:val="0087621C"/>
    <w:rsid w:val="008B1E46"/>
    <w:rsid w:val="008B73C6"/>
    <w:rsid w:val="008B7944"/>
    <w:rsid w:val="008E15B4"/>
    <w:rsid w:val="009546B9"/>
    <w:rsid w:val="0095502C"/>
    <w:rsid w:val="009730D5"/>
    <w:rsid w:val="009E4ED1"/>
    <w:rsid w:val="00A15694"/>
    <w:rsid w:val="00A351FC"/>
    <w:rsid w:val="00A40A06"/>
    <w:rsid w:val="00A46228"/>
    <w:rsid w:val="00A7411B"/>
    <w:rsid w:val="00AA2AA4"/>
    <w:rsid w:val="00AA6516"/>
    <w:rsid w:val="00AE3A11"/>
    <w:rsid w:val="00AF6A2E"/>
    <w:rsid w:val="00B02A9C"/>
    <w:rsid w:val="00B4197F"/>
    <w:rsid w:val="00B73890"/>
    <w:rsid w:val="00B811E2"/>
    <w:rsid w:val="00BC5A92"/>
    <w:rsid w:val="00C06E50"/>
    <w:rsid w:val="00C35A75"/>
    <w:rsid w:val="00C43D2C"/>
    <w:rsid w:val="00C54A16"/>
    <w:rsid w:val="00CD111E"/>
    <w:rsid w:val="00CD7020"/>
    <w:rsid w:val="00CE6B16"/>
    <w:rsid w:val="00D0284F"/>
    <w:rsid w:val="00D1367E"/>
    <w:rsid w:val="00D357E9"/>
    <w:rsid w:val="00D526A4"/>
    <w:rsid w:val="00DB6693"/>
    <w:rsid w:val="00DF2018"/>
    <w:rsid w:val="00E12A39"/>
    <w:rsid w:val="00E17902"/>
    <w:rsid w:val="00E431BF"/>
    <w:rsid w:val="00E63746"/>
    <w:rsid w:val="00E70047"/>
    <w:rsid w:val="00E74647"/>
    <w:rsid w:val="00F01E28"/>
    <w:rsid w:val="00F35745"/>
    <w:rsid w:val="00F44D9D"/>
    <w:rsid w:val="00F5087F"/>
    <w:rsid w:val="00FA5BE2"/>
    <w:rsid w:val="00FA70DF"/>
    <w:rsid w:val="00FD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414EF"/>
  <w15:docId w15:val="{8DD068DC-0F21-4E03-B8E6-2EA89467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197F"/>
    <w:rPr>
      <w:color w:val="0000FF" w:themeColor="hyperlink"/>
      <w:u w:val="single"/>
    </w:rPr>
  </w:style>
  <w:style w:type="character" w:styleId="FollowedHyperlink">
    <w:name w:val="FollowedHyperlink"/>
    <w:basedOn w:val="DefaultParagraphFont"/>
    <w:uiPriority w:val="99"/>
    <w:semiHidden/>
    <w:unhideWhenUsed/>
    <w:rsid w:val="00B4197F"/>
    <w:rPr>
      <w:color w:val="800080" w:themeColor="followedHyperlink"/>
      <w:u w:val="single"/>
    </w:rPr>
  </w:style>
  <w:style w:type="paragraph" w:styleId="Header">
    <w:name w:val="header"/>
    <w:basedOn w:val="Normal"/>
    <w:link w:val="HeaderChar"/>
    <w:uiPriority w:val="99"/>
    <w:unhideWhenUsed/>
    <w:rsid w:val="00B4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97F"/>
  </w:style>
  <w:style w:type="paragraph" w:styleId="Footer">
    <w:name w:val="footer"/>
    <w:basedOn w:val="Normal"/>
    <w:link w:val="FooterChar"/>
    <w:uiPriority w:val="99"/>
    <w:unhideWhenUsed/>
    <w:rsid w:val="00B41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97F"/>
  </w:style>
  <w:style w:type="paragraph" w:styleId="BalloonText">
    <w:name w:val="Balloon Text"/>
    <w:basedOn w:val="Normal"/>
    <w:link w:val="BalloonTextChar"/>
    <w:uiPriority w:val="99"/>
    <w:semiHidden/>
    <w:unhideWhenUsed/>
    <w:rsid w:val="00840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C1A"/>
    <w:rPr>
      <w:rFonts w:ascii="Tahoma" w:hAnsi="Tahoma" w:cs="Tahoma"/>
      <w:sz w:val="16"/>
      <w:szCs w:val="16"/>
    </w:rPr>
  </w:style>
  <w:style w:type="paragraph" w:styleId="ListParagraph">
    <w:name w:val="List Paragraph"/>
    <w:basedOn w:val="Normal"/>
    <w:uiPriority w:val="34"/>
    <w:qFormat/>
    <w:rsid w:val="00C35A75"/>
    <w:pPr>
      <w:ind w:left="720"/>
      <w:contextualSpacing/>
    </w:pPr>
  </w:style>
  <w:style w:type="character" w:styleId="CommentReference">
    <w:name w:val="annotation reference"/>
    <w:basedOn w:val="DefaultParagraphFont"/>
    <w:uiPriority w:val="99"/>
    <w:semiHidden/>
    <w:unhideWhenUsed/>
    <w:rsid w:val="000920D1"/>
    <w:rPr>
      <w:sz w:val="16"/>
      <w:szCs w:val="16"/>
    </w:rPr>
  </w:style>
  <w:style w:type="paragraph" w:styleId="CommentText">
    <w:name w:val="annotation text"/>
    <w:basedOn w:val="Normal"/>
    <w:link w:val="CommentTextChar"/>
    <w:uiPriority w:val="99"/>
    <w:semiHidden/>
    <w:unhideWhenUsed/>
    <w:rsid w:val="000920D1"/>
    <w:pPr>
      <w:spacing w:line="240" w:lineRule="auto"/>
    </w:pPr>
    <w:rPr>
      <w:sz w:val="20"/>
      <w:szCs w:val="20"/>
    </w:rPr>
  </w:style>
  <w:style w:type="character" w:customStyle="1" w:styleId="CommentTextChar">
    <w:name w:val="Comment Text Char"/>
    <w:basedOn w:val="DefaultParagraphFont"/>
    <w:link w:val="CommentText"/>
    <w:uiPriority w:val="99"/>
    <w:semiHidden/>
    <w:rsid w:val="000920D1"/>
    <w:rPr>
      <w:sz w:val="20"/>
      <w:szCs w:val="20"/>
    </w:rPr>
  </w:style>
  <w:style w:type="paragraph" w:styleId="CommentSubject">
    <w:name w:val="annotation subject"/>
    <w:basedOn w:val="CommentText"/>
    <w:next w:val="CommentText"/>
    <w:link w:val="CommentSubjectChar"/>
    <w:uiPriority w:val="99"/>
    <w:semiHidden/>
    <w:unhideWhenUsed/>
    <w:rsid w:val="000920D1"/>
    <w:rPr>
      <w:b/>
      <w:bCs/>
    </w:rPr>
  </w:style>
  <w:style w:type="character" w:customStyle="1" w:styleId="CommentSubjectChar">
    <w:name w:val="Comment Subject Char"/>
    <w:basedOn w:val="CommentTextChar"/>
    <w:link w:val="CommentSubject"/>
    <w:uiPriority w:val="99"/>
    <w:semiHidden/>
    <w:rsid w:val="000920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tod.org/policies/policy-statements/aatod-guidelines-for-using-naltrexone-vivitrol-in-otp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pt.samhsa.gov/medications/naltrexone.aspx" TargetMode="External"/><Relationship Id="rId4" Type="http://schemas.openxmlformats.org/officeDocument/2006/relationships/settings" Target="settings.xml"/><Relationship Id="rId9" Type="http://schemas.openxmlformats.org/officeDocument/2006/relationships/hyperlink" Target="http://www.nih.gov/news/pr/may2006/niaaa-02.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08CF9-B1EC-462C-B9DF-11F69922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2925</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cbeaudin</dc:creator>
  <cp:lastModifiedBy>SLarkins</cp:lastModifiedBy>
  <cp:revision>2</cp:revision>
  <dcterms:created xsi:type="dcterms:W3CDTF">2017-08-10T23:44:00Z</dcterms:created>
  <dcterms:modified xsi:type="dcterms:W3CDTF">2017-08-10T23:44:00Z</dcterms:modified>
</cp:coreProperties>
</file>