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C6" w:rsidRDefault="002021C6" w:rsidP="000A0464">
      <w:pPr>
        <w:jc w:val="center"/>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0E62">
        <w:rPr>
          <w:rFonts w:ascii="Arial" w:hAnsi="Arial" w:cs="Arial"/>
          <w:b/>
          <w:sz w:val="24"/>
          <w:szCs w:val="24"/>
        </w:rPr>
        <w:t xml:space="preserve">           </w:t>
      </w:r>
      <w:r>
        <w:rPr>
          <w:rFonts w:ascii="Arial" w:hAnsi="Arial" w:cs="Arial"/>
          <w:b/>
          <w:sz w:val="24"/>
          <w:szCs w:val="24"/>
        </w:rPr>
        <w:t xml:space="preserve">Attachment </w:t>
      </w:r>
      <w:r w:rsidR="00230E62">
        <w:rPr>
          <w:rFonts w:ascii="Arial" w:hAnsi="Arial" w:cs="Arial"/>
          <w:b/>
          <w:sz w:val="24"/>
          <w:szCs w:val="24"/>
        </w:rPr>
        <w:t>V</w:t>
      </w:r>
      <w:r>
        <w:rPr>
          <w:rFonts w:ascii="Arial" w:hAnsi="Arial" w:cs="Arial"/>
          <w:b/>
          <w:sz w:val="24"/>
          <w:szCs w:val="24"/>
        </w:rPr>
        <w:t>I</w:t>
      </w:r>
    </w:p>
    <w:p w:rsidR="00E771A8" w:rsidRPr="000A0464" w:rsidRDefault="000A0464" w:rsidP="000A0464">
      <w:pPr>
        <w:jc w:val="center"/>
        <w:rPr>
          <w:rFonts w:ascii="Arial" w:hAnsi="Arial" w:cs="Arial"/>
          <w:b/>
          <w:sz w:val="24"/>
          <w:szCs w:val="24"/>
        </w:rPr>
      </w:pPr>
      <w:r w:rsidRPr="000A0464">
        <w:rPr>
          <w:rFonts w:ascii="Arial" w:hAnsi="Arial" w:cs="Arial"/>
          <w:b/>
          <w:sz w:val="24"/>
          <w:szCs w:val="24"/>
        </w:rPr>
        <w:t>COST POLICY STATEMENT</w:t>
      </w:r>
    </w:p>
    <w:p w:rsidR="000A0464" w:rsidRDefault="000A0464" w:rsidP="000A0464">
      <w:pPr>
        <w:jc w:val="center"/>
        <w:rPr>
          <w:rFonts w:ascii="Arial" w:hAnsi="Arial" w:cs="Arial"/>
          <w:b/>
          <w:sz w:val="24"/>
          <w:szCs w:val="24"/>
        </w:rPr>
      </w:pPr>
      <w:r w:rsidRPr="000A0464">
        <w:rPr>
          <w:rFonts w:ascii="Arial" w:hAnsi="Arial" w:cs="Arial"/>
          <w:b/>
          <w:sz w:val="24"/>
          <w:szCs w:val="24"/>
        </w:rPr>
        <w:t>(NAME OF AGENCY/PHONE NUMBER</w:t>
      </w:r>
      <w:r w:rsidR="00230E62">
        <w:rPr>
          <w:rFonts w:ascii="Arial" w:hAnsi="Arial" w:cs="Arial"/>
          <w:b/>
          <w:sz w:val="24"/>
          <w:szCs w:val="24"/>
        </w:rPr>
        <w:t>)</w:t>
      </w:r>
    </w:p>
    <w:p w:rsidR="002021C6" w:rsidRDefault="002021C6" w:rsidP="000A0464">
      <w:pPr>
        <w:jc w:val="center"/>
        <w:rPr>
          <w:rFonts w:ascii="Arial" w:hAnsi="Arial" w:cs="Arial"/>
          <w:b/>
          <w:sz w:val="24"/>
          <w:szCs w:val="24"/>
        </w:rPr>
      </w:pPr>
    </w:p>
    <w:p w:rsidR="000A0464" w:rsidRDefault="000A0464" w:rsidP="000A0464">
      <w:pPr>
        <w:rPr>
          <w:rFonts w:ascii="Arial" w:hAnsi="Arial" w:cs="Arial"/>
          <w:sz w:val="24"/>
          <w:szCs w:val="24"/>
          <w:u w:val="single"/>
        </w:rPr>
      </w:pPr>
      <w:r>
        <w:rPr>
          <w:rFonts w:ascii="Arial" w:hAnsi="Arial" w:cs="Arial"/>
          <w:sz w:val="24"/>
          <w:szCs w:val="24"/>
        </w:rPr>
        <w:t>I.</w:t>
      </w:r>
      <w:r>
        <w:rPr>
          <w:rFonts w:ascii="Arial" w:hAnsi="Arial" w:cs="Arial"/>
          <w:sz w:val="24"/>
          <w:szCs w:val="24"/>
        </w:rPr>
        <w:tab/>
      </w:r>
      <w:r w:rsidRPr="000A0464">
        <w:rPr>
          <w:rFonts w:ascii="Arial" w:hAnsi="Arial" w:cs="Arial"/>
          <w:sz w:val="24"/>
          <w:szCs w:val="24"/>
          <w:u w:val="single"/>
        </w:rPr>
        <w:t>General Accounting Policies</w:t>
      </w:r>
    </w:p>
    <w:p w:rsidR="000A0464" w:rsidRDefault="000A0464" w:rsidP="000A0464">
      <w:pPr>
        <w:rPr>
          <w:rFonts w:ascii="Arial" w:hAnsi="Arial" w:cs="Arial"/>
          <w:sz w:val="24"/>
          <w:szCs w:val="24"/>
        </w:rPr>
      </w:pPr>
      <w:r>
        <w:rPr>
          <w:rFonts w:ascii="Arial" w:hAnsi="Arial" w:cs="Arial"/>
          <w:sz w:val="24"/>
          <w:szCs w:val="24"/>
        </w:rPr>
        <w:tab/>
        <w:t>A.</w:t>
      </w:r>
      <w:r>
        <w:rPr>
          <w:rFonts w:ascii="Arial" w:hAnsi="Arial" w:cs="Arial"/>
          <w:sz w:val="24"/>
          <w:szCs w:val="24"/>
        </w:rPr>
        <w:tab/>
        <w:t>Basis of Accounting</w:t>
      </w:r>
      <w:r w:rsidR="00B71287">
        <w:rPr>
          <w:rFonts w:ascii="Arial" w:hAnsi="Arial" w:cs="Arial"/>
          <w:sz w:val="24"/>
          <w:szCs w:val="24"/>
        </w:rPr>
        <w:t xml:space="preserve">: </w:t>
      </w:r>
      <w:r>
        <w:rPr>
          <w:rFonts w:ascii="Arial" w:hAnsi="Arial" w:cs="Arial"/>
          <w:sz w:val="24"/>
          <w:szCs w:val="24"/>
        </w:rPr>
        <w:t xml:space="preserve"> </w:t>
      </w:r>
      <w:r w:rsidR="00F015AC">
        <w:rPr>
          <w:rFonts w:ascii="Arial" w:hAnsi="Arial" w:cs="Arial"/>
          <w:sz w:val="24"/>
          <w:szCs w:val="24"/>
        </w:rPr>
        <w:t>Accrual</w:t>
      </w:r>
    </w:p>
    <w:p w:rsidR="000A0464" w:rsidRDefault="000A0464" w:rsidP="000A0464">
      <w:pPr>
        <w:rPr>
          <w:rFonts w:ascii="Arial" w:hAnsi="Arial" w:cs="Arial"/>
          <w:sz w:val="24"/>
          <w:szCs w:val="24"/>
        </w:rPr>
      </w:pPr>
      <w:r>
        <w:rPr>
          <w:rFonts w:ascii="Arial" w:hAnsi="Arial" w:cs="Arial"/>
          <w:sz w:val="24"/>
          <w:szCs w:val="24"/>
        </w:rPr>
        <w:tab/>
        <w:t>B.</w:t>
      </w:r>
      <w:r>
        <w:rPr>
          <w:rFonts w:ascii="Arial" w:hAnsi="Arial" w:cs="Arial"/>
          <w:sz w:val="24"/>
          <w:szCs w:val="24"/>
        </w:rPr>
        <w:tab/>
        <w:t>Fiscal Year</w:t>
      </w:r>
      <w:r w:rsidR="00B71287">
        <w:rPr>
          <w:rFonts w:ascii="Arial" w:hAnsi="Arial" w:cs="Arial"/>
          <w:sz w:val="24"/>
          <w:szCs w:val="24"/>
        </w:rPr>
        <w:t>:</w:t>
      </w:r>
      <w:r>
        <w:rPr>
          <w:rFonts w:ascii="Arial" w:hAnsi="Arial" w:cs="Arial"/>
          <w:sz w:val="24"/>
          <w:szCs w:val="24"/>
        </w:rPr>
        <w:t xml:space="preserve"> </w:t>
      </w:r>
      <w:r w:rsidR="00B71287">
        <w:rPr>
          <w:rFonts w:ascii="Arial" w:hAnsi="Arial" w:cs="Arial"/>
          <w:sz w:val="24"/>
          <w:szCs w:val="24"/>
        </w:rPr>
        <w:t xml:space="preserve"> </w:t>
      </w:r>
      <w:r>
        <w:rPr>
          <w:rFonts w:ascii="Arial" w:hAnsi="Arial" w:cs="Arial"/>
          <w:sz w:val="24"/>
          <w:szCs w:val="24"/>
        </w:rPr>
        <w:t>July 1 through June 30</w:t>
      </w:r>
    </w:p>
    <w:p w:rsidR="000A0464" w:rsidRDefault="000A0464" w:rsidP="000A0464">
      <w:pPr>
        <w:rPr>
          <w:rFonts w:ascii="Arial" w:hAnsi="Arial" w:cs="Arial"/>
          <w:sz w:val="24"/>
          <w:szCs w:val="24"/>
        </w:rPr>
      </w:pPr>
      <w:r>
        <w:rPr>
          <w:rFonts w:ascii="Arial" w:hAnsi="Arial" w:cs="Arial"/>
          <w:sz w:val="24"/>
          <w:szCs w:val="24"/>
        </w:rPr>
        <w:tab/>
        <w:t>C.</w:t>
      </w:r>
      <w:r>
        <w:rPr>
          <w:rFonts w:ascii="Arial" w:hAnsi="Arial" w:cs="Arial"/>
          <w:sz w:val="24"/>
          <w:szCs w:val="24"/>
        </w:rPr>
        <w:tab/>
        <w:t>Allocation basis for individual cost elements</w:t>
      </w:r>
      <w:r w:rsidR="00B71287">
        <w:rPr>
          <w:rFonts w:ascii="Arial" w:hAnsi="Arial" w:cs="Arial"/>
          <w:sz w:val="24"/>
          <w:szCs w:val="24"/>
        </w:rPr>
        <w:t xml:space="preserve">:  </w:t>
      </w:r>
      <w:r>
        <w:rPr>
          <w:rFonts w:ascii="Arial" w:hAnsi="Arial" w:cs="Arial"/>
          <w:sz w:val="24"/>
          <w:szCs w:val="24"/>
        </w:rPr>
        <w:t>Direct Allocation Base</w:t>
      </w:r>
    </w:p>
    <w:p w:rsidR="000A0464" w:rsidRDefault="000A0464" w:rsidP="000A0464">
      <w:pPr>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Indirect Cost Rate Allocation Base</w:t>
      </w:r>
      <w:r w:rsidR="00B71287">
        <w:rPr>
          <w:rFonts w:ascii="Arial" w:hAnsi="Arial" w:cs="Arial"/>
          <w:sz w:val="24"/>
          <w:szCs w:val="24"/>
        </w:rPr>
        <w:t xml:space="preserve">:  </w:t>
      </w:r>
      <w:r>
        <w:rPr>
          <w:rFonts w:ascii="Arial" w:hAnsi="Arial" w:cs="Arial"/>
          <w:sz w:val="24"/>
          <w:szCs w:val="24"/>
        </w:rPr>
        <w:t>Direct Salaries and Wages including Fringe Benefits.</w:t>
      </w:r>
    </w:p>
    <w:p w:rsidR="000A0464" w:rsidRDefault="000A0464" w:rsidP="000A0464">
      <w:pPr>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 xml:space="preserve">If your agency </w:t>
      </w:r>
      <w:r w:rsidR="00B71287">
        <w:rPr>
          <w:rFonts w:ascii="Arial" w:hAnsi="Arial" w:cs="Arial"/>
          <w:sz w:val="24"/>
          <w:szCs w:val="24"/>
        </w:rPr>
        <w:t xml:space="preserve">use </w:t>
      </w:r>
      <w:r>
        <w:rPr>
          <w:rFonts w:ascii="Arial" w:hAnsi="Arial" w:cs="Arial"/>
          <w:sz w:val="24"/>
          <w:szCs w:val="24"/>
        </w:rPr>
        <w:t>a fringe benefit rate, describe the fringe benefit allocation base.</w:t>
      </w:r>
    </w:p>
    <w:p w:rsidR="000A0464" w:rsidRDefault="000A0464" w:rsidP="000A0464">
      <w:pPr>
        <w:ind w:left="1440" w:hanging="720"/>
        <w:rPr>
          <w:rFonts w:ascii="Arial" w:hAnsi="Arial" w:cs="Arial"/>
          <w:sz w:val="24"/>
          <w:szCs w:val="24"/>
        </w:rPr>
      </w:pPr>
      <w:r>
        <w:rPr>
          <w:rFonts w:ascii="Arial" w:hAnsi="Arial" w:cs="Arial"/>
          <w:sz w:val="24"/>
          <w:szCs w:val="24"/>
        </w:rPr>
        <w:t>F.</w:t>
      </w:r>
      <w:r>
        <w:rPr>
          <w:rFonts w:ascii="Arial" w:hAnsi="Arial" w:cs="Arial"/>
          <w:sz w:val="24"/>
          <w:szCs w:val="24"/>
        </w:rPr>
        <w:tab/>
        <w:t xml:space="preserve">(Agency name) maintains adequate internal controls to insure that no cost is charged both directly and indirectly to it contracts.  </w:t>
      </w:r>
      <w:r w:rsidR="00B71287">
        <w:rPr>
          <w:rFonts w:ascii="Arial" w:hAnsi="Arial" w:cs="Arial"/>
          <w:sz w:val="24"/>
          <w:szCs w:val="24"/>
        </w:rPr>
        <w:t xml:space="preserve">The name and </w:t>
      </w:r>
      <w:r w:rsidR="009C410C">
        <w:rPr>
          <w:rFonts w:ascii="Arial" w:hAnsi="Arial" w:cs="Arial"/>
          <w:sz w:val="24"/>
          <w:szCs w:val="24"/>
        </w:rPr>
        <w:t>a description</w:t>
      </w:r>
      <w:r>
        <w:rPr>
          <w:rFonts w:ascii="Arial" w:hAnsi="Arial" w:cs="Arial"/>
          <w:sz w:val="24"/>
          <w:szCs w:val="24"/>
        </w:rPr>
        <w:t xml:space="preserve"> of the accounting system software will need to be identified.</w:t>
      </w:r>
    </w:p>
    <w:p w:rsidR="000A0464" w:rsidRDefault="000A0464" w:rsidP="000A0464">
      <w:pPr>
        <w:ind w:left="1440" w:hanging="720"/>
        <w:rPr>
          <w:rFonts w:ascii="Arial" w:hAnsi="Arial" w:cs="Arial"/>
          <w:sz w:val="24"/>
          <w:szCs w:val="24"/>
        </w:rPr>
      </w:pPr>
      <w:r>
        <w:rPr>
          <w:rFonts w:ascii="Arial" w:hAnsi="Arial" w:cs="Arial"/>
          <w:sz w:val="24"/>
          <w:szCs w:val="24"/>
        </w:rPr>
        <w:t>G.</w:t>
      </w:r>
      <w:r>
        <w:rPr>
          <w:rFonts w:ascii="Arial" w:hAnsi="Arial" w:cs="Arial"/>
          <w:sz w:val="24"/>
          <w:szCs w:val="24"/>
        </w:rPr>
        <w:tab/>
        <w:t xml:space="preserve">(Agency name) accumulates all indirect costs in the account titled, “Indirect Cost-Expense.” Provide the chart of account name that indirect </w:t>
      </w:r>
      <w:proofErr w:type="gramStart"/>
      <w:r>
        <w:rPr>
          <w:rFonts w:ascii="Arial" w:hAnsi="Arial" w:cs="Arial"/>
          <w:sz w:val="24"/>
          <w:szCs w:val="24"/>
        </w:rPr>
        <w:t>costs</w:t>
      </w:r>
      <w:proofErr w:type="gramEnd"/>
      <w:r>
        <w:rPr>
          <w:rFonts w:ascii="Arial" w:hAnsi="Arial" w:cs="Arial"/>
          <w:sz w:val="24"/>
          <w:szCs w:val="24"/>
        </w:rPr>
        <w:t xml:space="preserve"> are posted to.</w:t>
      </w:r>
    </w:p>
    <w:p w:rsidR="000A0464" w:rsidRDefault="000A0464" w:rsidP="009C410C">
      <w:pPr>
        <w:spacing w:after="0" w:line="240" w:lineRule="auto"/>
        <w:rPr>
          <w:rFonts w:ascii="Arial" w:hAnsi="Arial" w:cs="Arial"/>
          <w:sz w:val="24"/>
          <w:szCs w:val="24"/>
          <w:u w:val="single"/>
        </w:rPr>
      </w:pPr>
      <w:r>
        <w:rPr>
          <w:rFonts w:ascii="Arial" w:hAnsi="Arial" w:cs="Arial"/>
          <w:sz w:val="24"/>
          <w:szCs w:val="24"/>
        </w:rPr>
        <w:t>II.</w:t>
      </w:r>
      <w:r>
        <w:rPr>
          <w:rFonts w:ascii="Arial" w:hAnsi="Arial" w:cs="Arial"/>
          <w:sz w:val="24"/>
          <w:szCs w:val="24"/>
        </w:rPr>
        <w:tab/>
      </w:r>
      <w:r w:rsidR="003534A6" w:rsidRPr="003534A6">
        <w:rPr>
          <w:rFonts w:ascii="Arial" w:hAnsi="Arial" w:cs="Arial"/>
          <w:sz w:val="24"/>
          <w:szCs w:val="24"/>
          <w:u w:val="single"/>
        </w:rPr>
        <w:t>Description of Cost Allocation Methodology</w:t>
      </w:r>
    </w:p>
    <w:p w:rsidR="009C410C" w:rsidRDefault="009C410C" w:rsidP="009C410C">
      <w:pPr>
        <w:spacing w:after="0" w:line="240" w:lineRule="auto"/>
        <w:rPr>
          <w:rFonts w:ascii="Arial" w:hAnsi="Arial" w:cs="Arial"/>
          <w:sz w:val="24"/>
          <w:szCs w:val="24"/>
          <w:u w:val="single"/>
        </w:rPr>
      </w:pPr>
    </w:p>
    <w:p w:rsidR="003534A6" w:rsidRDefault="003534A6" w:rsidP="009C410C">
      <w:pPr>
        <w:pStyle w:val="ListParagraph"/>
        <w:numPr>
          <w:ilvl w:val="0"/>
          <w:numId w:val="1"/>
        </w:numPr>
        <w:spacing w:after="0" w:line="240" w:lineRule="auto"/>
        <w:ind w:left="1440" w:hanging="720"/>
        <w:rPr>
          <w:rFonts w:ascii="Arial" w:hAnsi="Arial" w:cs="Arial"/>
          <w:sz w:val="24"/>
          <w:szCs w:val="24"/>
        </w:rPr>
      </w:pPr>
      <w:r>
        <w:rPr>
          <w:rFonts w:ascii="Arial" w:hAnsi="Arial" w:cs="Arial"/>
          <w:sz w:val="24"/>
          <w:szCs w:val="24"/>
        </w:rPr>
        <w:t xml:space="preserve">Salaries and Wages </w:t>
      </w:r>
    </w:p>
    <w:p w:rsidR="00B71287" w:rsidRDefault="00B71287" w:rsidP="009C410C">
      <w:pPr>
        <w:pStyle w:val="ListParagraph"/>
        <w:spacing w:after="0" w:line="240" w:lineRule="auto"/>
        <w:ind w:left="1440"/>
        <w:rPr>
          <w:rFonts w:ascii="Arial" w:hAnsi="Arial" w:cs="Arial"/>
          <w:sz w:val="24"/>
          <w:szCs w:val="24"/>
        </w:rPr>
      </w:pPr>
    </w:p>
    <w:p w:rsidR="003534A6" w:rsidRDefault="00315C04" w:rsidP="009C410C">
      <w:pPr>
        <w:pStyle w:val="ListParagraph"/>
        <w:numPr>
          <w:ilvl w:val="0"/>
          <w:numId w:val="2"/>
        </w:numPr>
        <w:spacing w:after="0" w:line="240" w:lineRule="auto"/>
        <w:ind w:left="2160" w:hanging="720"/>
        <w:rPr>
          <w:rFonts w:ascii="Arial" w:hAnsi="Arial" w:cs="Arial"/>
          <w:sz w:val="24"/>
          <w:szCs w:val="24"/>
        </w:rPr>
      </w:pPr>
      <w:r>
        <w:rPr>
          <w:rFonts w:ascii="Arial" w:hAnsi="Arial" w:cs="Arial"/>
          <w:sz w:val="24"/>
          <w:szCs w:val="24"/>
        </w:rPr>
        <w:t>Direct Costs</w:t>
      </w:r>
      <w:r w:rsidR="00B71287">
        <w:rPr>
          <w:rFonts w:ascii="Arial" w:hAnsi="Arial" w:cs="Arial"/>
          <w:sz w:val="24"/>
          <w:szCs w:val="24"/>
        </w:rPr>
        <w:t xml:space="preserve">:  </w:t>
      </w:r>
      <w:r>
        <w:rPr>
          <w:rFonts w:ascii="Arial" w:hAnsi="Arial" w:cs="Arial"/>
          <w:sz w:val="24"/>
          <w:szCs w:val="24"/>
        </w:rPr>
        <w:t>Identify employees whose salary is directly charged as direct cost.</w:t>
      </w:r>
    </w:p>
    <w:p w:rsidR="00B71287" w:rsidRDefault="00B71287" w:rsidP="009C410C">
      <w:pPr>
        <w:pStyle w:val="ListParagraph"/>
        <w:spacing w:after="0" w:line="240" w:lineRule="auto"/>
        <w:ind w:left="2160"/>
        <w:rPr>
          <w:rFonts w:ascii="Arial" w:hAnsi="Arial" w:cs="Arial"/>
          <w:sz w:val="24"/>
          <w:szCs w:val="24"/>
        </w:rPr>
      </w:pPr>
    </w:p>
    <w:p w:rsidR="00315C04" w:rsidRDefault="00315C04" w:rsidP="009C410C">
      <w:pPr>
        <w:pStyle w:val="ListParagraph"/>
        <w:numPr>
          <w:ilvl w:val="0"/>
          <w:numId w:val="2"/>
        </w:numPr>
        <w:spacing w:after="0" w:line="240" w:lineRule="auto"/>
        <w:ind w:left="2160" w:hanging="720"/>
        <w:rPr>
          <w:rFonts w:ascii="Arial" w:hAnsi="Arial" w:cs="Arial"/>
          <w:sz w:val="24"/>
          <w:szCs w:val="24"/>
        </w:rPr>
      </w:pPr>
      <w:r>
        <w:rPr>
          <w:rFonts w:ascii="Arial" w:hAnsi="Arial" w:cs="Arial"/>
          <w:sz w:val="24"/>
          <w:szCs w:val="24"/>
        </w:rPr>
        <w:t>Indirect Costs</w:t>
      </w:r>
      <w:r w:rsidR="00B71287">
        <w:rPr>
          <w:rFonts w:ascii="Arial" w:hAnsi="Arial" w:cs="Arial"/>
          <w:sz w:val="24"/>
          <w:szCs w:val="24"/>
        </w:rPr>
        <w:t xml:space="preserve">:  </w:t>
      </w:r>
      <w:r>
        <w:rPr>
          <w:rFonts w:ascii="Arial" w:hAnsi="Arial" w:cs="Arial"/>
          <w:sz w:val="24"/>
          <w:szCs w:val="24"/>
        </w:rPr>
        <w:t>Identify employees whose salary is directly charged as indirect cost.</w:t>
      </w:r>
    </w:p>
    <w:p w:rsidR="00B71287" w:rsidRPr="00B71287" w:rsidRDefault="00B71287" w:rsidP="009C410C">
      <w:pPr>
        <w:pStyle w:val="ListParagraph"/>
        <w:spacing w:after="0" w:line="240" w:lineRule="auto"/>
        <w:rPr>
          <w:rFonts w:ascii="Arial" w:hAnsi="Arial" w:cs="Arial"/>
          <w:sz w:val="24"/>
          <w:szCs w:val="24"/>
        </w:rPr>
      </w:pPr>
    </w:p>
    <w:p w:rsidR="00315C04" w:rsidRDefault="00315C04" w:rsidP="009C410C">
      <w:pPr>
        <w:pStyle w:val="ListParagraph"/>
        <w:numPr>
          <w:ilvl w:val="0"/>
          <w:numId w:val="2"/>
        </w:numPr>
        <w:spacing w:after="0" w:line="240" w:lineRule="auto"/>
        <w:ind w:left="2160" w:hanging="720"/>
        <w:rPr>
          <w:rFonts w:ascii="Arial" w:hAnsi="Arial" w:cs="Arial"/>
          <w:sz w:val="24"/>
          <w:szCs w:val="24"/>
        </w:rPr>
      </w:pPr>
      <w:r>
        <w:rPr>
          <w:rFonts w:ascii="Arial" w:hAnsi="Arial" w:cs="Arial"/>
          <w:sz w:val="24"/>
          <w:szCs w:val="24"/>
        </w:rPr>
        <w:t>Mixed Costs</w:t>
      </w:r>
      <w:r w:rsidR="00B71287">
        <w:rPr>
          <w:rFonts w:ascii="Arial" w:hAnsi="Arial" w:cs="Arial"/>
          <w:sz w:val="24"/>
          <w:szCs w:val="24"/>
        </w:rPr>
        <w:t xml:space="preserve">:  </w:t>
      </w:r>
      <w:r>
        <w:rPr>
          <w:rFonts w:ascii="Arial" w:hAnsi="Arial" w:cs="Arial"/>
          <w:sz w:val="24"/>
          <w:szCs w:val="24"/>
        </w:rPr>
        <w:t>Identify employees whose salary is charged both direct and indirect.</w:t>
      </w:r>
    </w:p>
    <w:p w:rsidR="009C410C" w:rsidRDefault="009C410C" w:rsidP="009C410C">
      <w:pPr>
        <w:spacing w:after="0" w:line="240" w:lineRule="auto"/>
        <w:ind w:firstLine="720"/>
        <w:rPr>
          <w:rFonts w:ascii="Arial" w:hAnsi="Arial" w:cs="Arial"/>
          <w:sz w:val="24"/>
          <w:szCs w:val="24"/>
        </w:rPr>
      </w:pPr>
    </w:p>
    <w:p w:rsidR="009C410C" w:rsidRDefault="009C410C" w:rsidP="009C410C">
      <w:pPr>
        <w:spacing w:after="0" w:line="240" w:lineRule="auto"/>
        <w:ind w:firstLine="720"/>
        <w:rPr>
          <w:rFonts w:ascii="Arial" w:hAnsi="Arial" w:cs="Arial"/>
          <w:sz w:val="24"/>
          <w:szCs w:val="24"/>
        </w:rPr>
      </w:pPr>
    </w:p>
    <w:p w:rsidR="009C410C" w:rsidRDefault="009C410C" w:rsidP="009C410C">
      <w:pPr>
        <w:spacing w:after="0" w:line="240" w:lineRule="auto"/>
        <w:ind w:firstLine="720"/>
        <w:rPr>
          <w:rFonts w:ascii="Arial" w:hAnsi="Arial" w:cs="Arial"/>
          <w:sz w:val="24"/>
          <w:szCs w:val="24"/>
        </w:rPr>
      </w:pPr>
    </w:p>
    <w:p w:rsidR="009C410C" w:rsidRDefault="009C410C" w:rsidP="009C410C">
      <w:pPr>
        <w:spacing w:after="0" w:line="240" w:lineRule="auto"/>
        <w:ind w:firstLine="720"/>
        <w:rPr>
          <w:rFonts w:ascii="Arial" w:hAnsi="Arial" w:cs="Arial"/>
          <w:sz w:val="24"/>
          <w:szCs w:val="24"/>
        </w:rPr>
      </w:pPr>
    </w:p>
    <w:p w:rsidR="009C410C" w:rsidRDefault="009C410C" w:rsidP="009C410C">
      <w:pPr>
        <w:spacing w:after="0" w:line="240" w:lineRule="auto"/>
        <w:ind w:firstLine="720"/>
        <w:rPr>
          <w:rFonts w:ascii="Arial" w:hAnsi="Arial" w:cs="Arial"/>
          <w:sz w:val="24"/>
          <w:szCs w:val="24"/>
        </w:rPr>
      </w:pPr>
    </w:p>
    <w:p w:rsidR="009C410C" w:rsidRDefault="009C410C" w:rsidP="009C410C">
      <w:pPr>
        <w:spacing w:after="0" w:line="240" w:lineRule="auto"/>
        <w:ind w:firstLine="720"/>
        <w:rPr>
          <w:rFonts w:ascii="Arial" w:hAnsi="Arial" w:cs="Arial"/>
          <w:sz w:val="24"/>
          <w:szCs w:val="24"/>
        </w:rPr>
      </w:pPr>
    </w:p>
    <w:p w:rsidR="009C410C" w:rsidRDefault="009C410C" w:rsidP="009C410C">
      <w:pPr>
        <w:spacing w:after="0" w:line="240" w:lineRule="auto"/>
        <w:ind w:firstLine="720"/>
        <w:rPr>
          <w:rFonts w:ascii="Arial" w:hAnsi="Arial" w:cs="Arial"/>
          <w:sz w:val="24"/>
          <w:szCs w:val="24"/>
        </w:rPr>
      </w:pPr>
    </w:p>
    <w:p w:rsidR="009C410C" w:rsidRDefault="009C410C" w:rsidP="009C410C">
      <w:pPr>
        <w:spacing w:after="0" w:line="240" w:lineRule="auto"/>
        <w:ind w:firstLine="720"/>
        <w:rPr>
          <w:rFonts w:ascii="Arial" w:hAnsi="Arial" w:cs="Arial"/>
          <w:sz w:val="24"/>
          <w:szCs w:val="24"/>
        </w:rPr>
      </w:pPr>
    </w:p>
    <w:p w:rsidR="00315C04" w:rsidRPr="009C410C" w:rsidRDefault="00315C04" w:rsidP="009C410C">
      <w:pPr>
        <w:pStyle w:val="ListParagraph"/>
        <w:numPr>
          <w:ilvl w:val="0"/>
          <w:numId w:val="1"/>
        </w:numPr>
        <w:spacing w:after="0" w:line="240" w:lineRule="auto"/>
        <w:rPr>
          <w:rFonts w:ascii="Arial" w:hAnsi="Arial" w:cs="Arial"/>
          <w:sz w:val="24"/>
          <w:szCs w:val="24"/>
        </w:rPr>
      </w:pPr>
      <w:r w:rsidRPr="009C410C">
        <w:rPr>
          <w:rFonts w:ascii="Arial" w:hAnsi="Arial" w:cs="Arial"/>
          <w:sz w:val="24"/>
          <w:szCs w:val="24"/>
        </w:rPr>
        <w:lastRenderedPageBreak/>
        <w:t>Fringe Benefits</w:t>
      </w:r>
      <w:r w:rsidR="009C410C">
        <w:rPr>
          <w:rFonts w:ascii="Arial" w:hAnsi="Arial" w:cs="Arial"/>
          <w:sz w:val="24"/>
          <w:szCs w:val="24"/>
        </w:rPr>
        <w:t xml:space="preserve">: </w:t>
      </w:r>
    </w:p>
    <w:p w:rsidR="009C410C" w:rsidRPr="009C410C" w:rsidRDefault="009C410C" w:rsidP="009C410C">
      <w:pPr>
        <w:pStyle w:val="ListParagraph"/>
        <w:spacing w:after="0" w:line="240" w:lineRule="auto"/>
        <w:ind w:left="1080"/>
        <w:rPr>
          <w:rFonts w:ascii="Arial" w:hAnsi="Arial" w:cs="Arial"/>
          <w:sz w:val="24"/>
          <w:szCs w:val="24"/>
          <w:u w:val="single"/>
        </w:rPr>
      </w:pPr>
    </w:p>
    <w:p w:rsidR="00315C04" w:rsidRDefault="00315C04" w:rsidP="009C410C">
      <w:pPr>
        <w:pStyle w:val="ListParagraph"/>
        <w:numPr>
          <w:ilvl w:val="0"/>
          <w:numId w:val="4"/>
        </w:numPr>
        <w:spacing w:after="0" w:line="240" w:lineRule="auto"/>
        <w:ind w:left="2160" w:hanging="720"/>
        <w:rPr>
          <w:rFonts w:ascii="Arial" w:hAnsi="Arial" w:cs="Arial"/>
          <w:sz w:val="24"/>
          <w:szCs w:val="24"/>
        </w:rPr>
      </w:pPr>
      <w:r>
        <w:rPr>
          <w:rFonts w:ascii="Arial" w:hAnsi="Arial" w:cs="Arial"/>
          <w:sz w:val="24"/>
          <w:szCs w:val="24"/>
        </w:rPr>
        <w:t>(Agency name) contributes the following fringe benefits for its employees:</w:t>
      </w:r>
    </w:p>
    <w:p w:rsidR="00B71287" w:rsidRDefault="00B71287" w:rsidP="009C410C">
      <w:pPr>
        <w:pStyle w:val="ListParagraph"/>
        <w:spacing w:after="0" w:line="240" w:lineRule="auto"/>
        <w:ind w:left="1440"/>
        <w:rPr>
          <w:rFonts w:ascii="Arial" w:hAnsi="Arial" w:cs="Arial"/>
          <w:sz w:val="24"/>
          <w:szCs w:val="24"/>
        </w:rPr>
      </w:pPr>
    </w:p>
    <w:p w:rsidR="009C410C" w:rsidRDefault="009C410C"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Vacation</w:t>
      </w:r>
    </w:p>
    <w:p w:rsidR="009C410C" w:rsidRDefault="009C410C" w:rsidP="009C410C">
      <w:pPr>
        <w:pStyle w:val="ListParagraph"/>
        <w:spacing w:after="0" w:line="240" w:lineRule="auto"/>
        <w:ind w:left="2880"/>
        <w:rPr>
          <w:rFonts w:ascii="Arial" w:hAnsi="Arial" w:cs="Arial"/>
          <w:sz w:val="24"/>
          <w:szCs w:val="24"/>
        </w:rPr>
      </w:pPr>
    </w:p>
    <w:p w:rsidR="009C410C" w:rsidRDefault="009C410C"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Holiday</w:t>
      </w:r>
    </w:p>
    <w:p w:rsidR="009C410C" w:rsidRPr="009C410C" w:rsidRDefault="009C410C" w:rsidP="009C410C">
      <w:pPr>
        <w:pStyle w:val="ListParagraph"/>
        <w:rPr>
          <w:rFonts w:ascii="Arial" w:hAnsi="Arial" w:cs="Arial"/>
          <w:sz w:val="24"/>
          <w:szCs w:val="24"/>
        </w:rPr>
      </w:pPr>
    </w:p>
    <w:p w:rsidR="009C410C" w:rsidRDefault="009C410C"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Sick Leave</w:t>
      </w:r>
    </w:p>
    <w:p w:rsidR="009C410C" w:rsidRPr="009C410C" w:rsidRDefault="009C410C" w:rsidP="009C410C">
      <w:pPr>
        <w:pStyle w:val="ListParagraph"/>
        <w:rPr>
          <w:rFonts w:ascii="Arial" w:hAnsi="Arial" w:cs="Arial"/>
          <w:sz w:val="24"/>
          <w:szCs w:val="24"/>
        </w:rPr>
      </w:pPr>
    </w:p>
    <w:p w:rsidR="00315C04" w:rsidRDefault="00315C04"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Unemployment insurance</w:t>
      </w:r>
    </w:p>
    <w:p w:rsidR="00B71287" w:rsidRDefault="00B71287" w:rsidP="009C410C">
      <w:pPr>
        <w:pStyle w:val="ListParagraph"/>
        <w:spacing w:after="0" w:line="240" w:lineRule="auto"/>
        <w:ind w:left="2160"/>
        <w:rPr>
          <w:rFonts w:ascii="Arial" w:hAnsi="Arial" w:cs="Arial"/>
          <w:sz w:val="24"/>
          <w:szCs w:val="24"/>
        </w:rPr>
      </w:pPr>
    </w:p>
    <w:p w:rsidR="00315C04" w:rsidRDefault="00315C04"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Workers compensation</w:t>
      </w:r>
    </w:p>
    <w:p w:rsidR="00B71287" w:rsidRDefault="00B71287" w:rsidP="009C410C">
      <w:pPr>
        <w:pStyle w:val="ListParagraph"/>
        <w:spacing w:after="0" w:line="240" w:lineRule="auto"/>
        <w:ind w:left="2880" w:hanging="720"/>
        <w:rPr>
          <w:rFonts w:ascii="Arial" w:hAnsi="Arial" w:cs="Arial"/>
          <w:sz w:val="24"/>
          <w:szCs w:val="24"/>
        </w:rPr>
      </w:pPr>
    </w:p>
    <w:p w:rsidR="00315C04" w:rsidRDefault="00315C04"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F.I.C.A.</w:t>
      </w:r>
    </w:p>
    <w:p w:rsidR="00B71287" w:rsidRPr="00B71287" w:rsidRDefault="00B71287" w:rsidP="009C410C">
      <w:pPr>
        <w:pStyle w:val="ListParagraph"/>
        <w:spacing w:after="0" w:line="240" w:lineRule="auto"/>
        <w:ind w:left="2880" w:hanging="720"/>
        <w:rPr>
          <w:rFonts w:ascii="Arial" w:hAnsi="Arial" w:cs="Arial"/>
          <w:sz w:val="24"/>
          <w:szCs w:val="24"/>
        </w:rPr>
      </w:pPr>
    </w:p>
    <w:p w:rsidR="009C410C" w:rsidRDefault="009C410C"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Health Insurance</w:t>
      </w:r>
    </w:p>
    <w:p w:rsidR="009C410C" w:rsidRPr="009C410C" w:rsidRDefault="009C410C" w:rsidP="009C410C">
      <w:pPr>
        <w:pStyle w:val="ListParagraph"/>
        <w:rPr>
          <w:rFonts w:ascii="Arial" w:hAnsi="Arial" w:cs="Arial"/>
          <w:sz w:val="24"/>
          <w:szCs w:val="24"/>
        </w:rPr>
      </w:pPr>
    </w:p>
    <w:p w:rsidR="00315C04" w:rsidRDefault="00315C04" w:rsidP="009C410C">
      <w:pPr>
        <w:pStyle w:val="ListParagraph"/>
        <w:numPr>
          <w:ilvl w:val="0"/>
          <w:numId w:val="6"/>
        </w:numPr>
        <w:spacing w:after="0" w:line="240" w:lineRule="auto"/>
        <w:ind w:left="2880" w:hanging="720"/>
        <w:rPr>
          <w:rFonts w:ascii="Arial" w:hAnsi="Arial" w:cs="Arial"/>
          <w:sz w:val="24"/>
          <w:szCs w:val="24"/>
        </w:rPr>
      </w:pPr>
      <w:r>
        <w:rPr>
          <w:rFonts w:ascii="Arial" w:hAnsi="Arial" w:cs="Arial"/>
          <w:sz w:val="24"/>
          <w:szCs w:val="24"/>
        </w:rPr>
        <w:t>etc.</w:t>
      </w:r>
    </w:p>
    <w:p w:rsidR="00315C04" w:rsidRDefault="00315C04" w:rsidP="00315C04">
      <w:pPr>
        <w:pStyle w:val="ListParagraph"/>
        <w:ind w:left="1800"/>
        <w:rPr>
          <w:rFonts w:ascii="Arial" w:hAnsi="Arial" w:cs="Arial"/>
          <w:sz w:val="24"/>
          <w:szCs w:val="24"/>
        </w:rPr>
      </w:pPr>
    </w:p>
    <w:p w:rsidR="006778B7" w:rsidRPr="00B71287" w:rsidRDefault="00B71287" w:rsidP="009C410C">
      <w:pPr>
        <w:pStyle w:val="ListParagraph"/>
        <w:spacing w:after="0" w:line="240" w:lineRule="auto"/>
        <w:ind w:left="1440" w:hanging="720"/>
        <w:rPr>
          <w:rFonts w:ascii="Arial" w:hAnsi="Arial" w:cs="Arial"/>
          <w:sz w:val="24"/>
          <w:szCs w:val="24"/>
        </w:rPr>
      </w:pPr>
      <w:r w:rsidRPr="00B71287">
        <w:rPr>
          <w:rFonts w:ascii="Arial" w:hAnsi="Arial" w:cs="Arial"/>
          <w:sz w:val="24"/>
          <w:szCs w:val="24"/>
        </w:rPr>
        <w:t>C.</w:t>
      </w:r>
      <w:r w:rsidRPr="00B71287">
        <w:rPr>
          <w:rFonts w:ascii="Arial" w:hAnsi="Arial" w:cs="Arial"/>
          <w:sz w:val="24"/>
          <w:szCs w:val="24"/>
        </w:rPr>
        <w:tab/>
      </w:r>
      <w:r w:rsidR="00315C04" w:rsidRPr="00B71287">
        <w:rPr>
          <w:rFonts w:ascii="Arial" w:hAnsi="Arial" w:cs="Arial"/>
          <w:sz w:val="24"/>
          <w:szCs w:val="24"/>
          <w:u w:val="single"/>
        </w:rPr>
        <w:t>Treatment of Fringe Benefits</w:t>
      </w:r>
      <w:r w:rsidR="00315C04" w:rsidRPr="00B71287">
        <w:rPr>
          <w:rFonts w:ascii="Arial" w:hAnsi="Arial" w:cs="Arial"/>
          <w:sz w:val="24"/>
          <w:szCs w:val="24"/>
        </w:rPr>
        <w:t xml:space="preserve"> – (Agency name) accounting systems track</w:t>
      </w:r>
      <w:r w:rsidR="006778B7" w:rsidRPr="00B71287">
        <w:rPr>
          <w:rFonts w:ascii="Arial" w:hAnsi="Arial" w:cs="Arial"/>
          <w:sz w:val="24"/>
          <w:szCs w:val="24"/>
        </w:rPr>
        <w:t xml:space="preserve"> fringe benefits, (identify how fringe benefits recorded), i.e. “fringe benefits costs are tracked by individual employee and charges those costs directly or indirectly in the same manner as salary and wages.</w:t>
      </w:r>
      <w:r w:rsidRPr="00B71287">
        <w:rPr>
          <w:rFonts w:ascii="Arial" w:hAnsi="Arial" w:cs="Arial"/>
          <w:sz w:val="24"/>
          <w:szCs w:val="24"/>
        </w:rPr>
        <w:t xml:space="preserve">  </w:t>
      </w:r>
      <w:r w:rsidR="00E60D3F" w:rsidRPr="00B71287">
        <w:rPr>
          <w:rFonts w:ascii="Arial" w:hAnsi="Arial" w:cs="Arial"/>
          <w:sz w:val="24"/>
          <w:szCs w:val="24"/>
        </w:rPr>
        <w:t xml:space="preserve">In addition, </w:t>
      </w:r>
      <w:r w:rsidR="006778B7" w:rsidRPr="00B71287">
        <w:rPr>
          <w:rFonts w:ascii="Arial" w:hAnsi="Arial" w:cs="Arial"/>
          <w:sz w:val="24"/>
          <w:szCs w:val="24"/>
        </w:rPr>
        <w:t xml:space="preserve">a statement is needed to identify </w:t>
      </w:r>
      <w:r w:rsidR="00E60D3F" w:rsidRPr="00B71287">
        <w:rPr>
          <w:rFonts w:ascii="Arial" w:hAnsi="Arial" w:cs="Arial"/>
          <w:sz w:val="24"/>
          <w:szCs w:val="24"/>
        </w:rPr>
        <w:t>how</w:t>
      </w:r>
      <w:r w:rsidR="006778B7" w:rsidRPr="00B71287">
        <w:rPr>
          <w:rFonts w:ascii="Arial" w:hAnsi="Arial" w:cs="Arial"/>
          <w:sz w:val="24"/>
          <w:szCs w:val="24"/>
        </w:rPr>
        <w:t xml:space="preserve"> a fringe benefit rate</w:t>
      </w:r>
      <w:r w:rsidR="005D5983" w:rsidRPr="00B71287">
        <w:rPr>
          <w:rFonts w:ascii="Arial" w:hAnsi="Arial" w:cs="Arial"/>
          <w:sz w:val="24"/>
          <w:szCs w:val="24"/>
        </w:rPr>
        <w:t>(</w:t>
      </w:r>
      <w:r w:rsidR="006778B7" w:rsidRPr="00B71287">
        <w:rPr>
          <w:rFonts w:ascii="Arial" w:hAnsi="Arial" w:cs="Arial"/>
          <w:sz w:val="24"/>
          <w:szCs w:val="24"/>
        </w:rPr>
        <w:t>s</w:t>
      </w:r>
      <w:r w:rsidR="005D5983" w:rsidRPr="00B71287">
        <w:rPr>
          <w:rFonts w:ascii="Arial" w:hAnsi="Arial" w:cs="Arial"/>
          <w:sz w:val="24"/>
          <w:szCs w:val="24"/>
        </w:rPr>
        <w:t>)</w:t>
      </w:r>
      <w:r w:rsidR="006778B7" w:rsidRPr="00B71287">
        <w:rPr>
          <w:rFonts w:ascii="Arial" w:hAnsi="Arial" w:cs="Arial"/>
          <w:sz w:val="24"/>
          <w:szCs w:val="24"/>
        </w:rPr>
        <w:t xml:space="preserve"> are established.</w:t>
      </w:r>
    </w:p>
    <w:p w:rsidR="006778B7" w:rsidRDefault="006778B7" w:rsidP="009C410C">
      <w:pPr>
        <w:pStyle w:val="ListParagraph"/>
        <w:spacing w:after="0" w:line="240" w:lineRule="auto"/>
        <w:ind w:left="1800"/>
        <w:rPr>
          <w:rFonts w:ascii="Arial" w:hAnsi="Arial" w:cs="Arial"/>
          <w:sz w:val="24"/>
          <w:szCs w:val="24"/>
        </w:rPr>
      </w:pPr>
    </w:p>
    <w:p w:rsidR="008522A5" w:rsidRPr="00B71287" w:rsidRDefault="00B71287" w:rsidP="00B71287">
      <w:pPr>
        <w:ind w:left="1440" w:hanging="720"/>
        <w:rPr>
          <w:rFonts w:ascii="Arial" w:hAnsi="Arial" w:cs="Arial"/>
          <w:sz w:val="24"/>
          <w:szCs w:val="24"/>
        </w:rPr>
      </w:pPr>
      <w:r>
        <w:rPr>
          <w:rFonts w:ascii="Arial" w:hAnsi="Arial" w:cs="Arial"/>
          <w:sz w:val="24"/>
          <w:szCs w:val="24"/>
        </w:rPr>
        <w:t>D</w:t>
      </w:r>
      <w:r w:rsidRPr="00B71287">
        <w:rPr>
          <w:rFonts w:ascii="Arial" w:hAnsi="Arial" w:cs="Arial"/>
          <w:sz w:val="24"/>
          <w:szCs w:val="24"/>
        </w:rPr>
        <w:t>.</w:t>
      </w:r>
      <w:r w:rsidRPr="00B71287">
        <w:rPr>
          <w:rFonts w:ascii="Arial" w:hAnsi="Arial" w:cs="Arial"/>
          <w:i/>
          <w:sz w:val="24"/>
          <w:szCs w:val="24"/>
        </w:rPr>
        <w:tab/>
      </w:r>
      <w:r w:rsidR="006778B7" w:rsidRPr="00B71287">
        <w:rPr>
          <w:rFonts w:ascii="Arial" w:hAnsi="Arial" w:cs="Arial"/>
          <w:sz w:val="24"/>
          <w:szCs w:val="24"/>
          <w:u w:val="single"/>
        </w:rPr>
        <w:t xml:space="preserve">Treatment of Paid Absences </w:t>
      </w:r>
      <w:r w:rsidR="006778B7" w:rsidRPr="00B71287">
        <w:rPr>
          <w:rFonts w:ascii="Arial" w:hAnsi="Arial" w:cs="Arial"/>
          <w:sz w:val="24"/>
          <w:szCs w:val="24"/>
        </w:rPr>
        <w:t xml:space="preserve">– Identify how each time off category is recorded, i.e. are these costs </w:t>
      </w:r>
      <w:r w:rsidR="008522A5" w:rsidRPr="00B71287">
        <w:rPr>
          <w:rFonts w:ascii="Arial" w:hAnsi="Arial" w:cs="Arial"/>
          <w:sz w:val="24"/>
          <w:szCs w:val="24"/>
        </w:rPr>
        <w:t>as a direct or indirect cost.</w:t>
      </w:r>
    </w:p>
    <w:p w:rsidR="008522A5" w:rsidRDefault="008522A5" w:rsidP="008522A5">
      <w:pPr>
        <w:rPr>
          <w:rFonts w:ascii="Arial" w:hAnsi="Arial" w:cs="Arial"/>
          <w:sz w:val="24"/>
          <w:szCs w:val="24"/>
        </w:rPr>
      </w:pPr>
      <w:r>
        <w:rPr>
          <w:rFonts w:ascii="Arial" w:hAnsi="Arial" w:cs="Arial"/>
          <w:sz w:val="24"/>
          <w:szCs w:val="24"/>
        </w:rPr>
        <w:tab/>
      </w:r>
      <w:r w:rsidR="00B71287">
        <w:rPr>
          <w:rFonts w:ascii="Arial" w:hAnsi="Arial" w:cs="Arial"/>
          <w:sz w:val="24"/>
          <w:szCs w:val="24"/>
        </w:rPr>
        <w:t>E.</w:t>
      </w:r>
      <w:r w:rsidR="00B71287">
        <w:rPr>
          <w:rFonts w:ascii="Arial" w:hAnsi="Arial" w:cs="Arial"/>
          <w:sz w:val="24"/>
          <w:szCs w:val="24"/>
        </w:rPr>
        <w:tab/>
      </w:r>
      <w:r>
        <w:rPr>
          <w:rFonts w:ascii="Arial" w:hAnsi="Arial" w:cs="Arial"/>
          <w:sz w:val="24"/>
          <w:szCs w:val="24"/>
        </w:rPr>
        <w:t>Expenses</w:t>
      </w:r>
    </w:p>
    <w:p w:rsidR="008522A5" w:rsidRDefault="008522A5" w:rsidP="008522A5">
      <w:pPr>
        <w:ind w:left="216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Identify each expense on your income statement, and explain how each </w:t>
      </w:r>
      <w:r w:rsidR="00B2359A">
        <w:rPr>
          <w:rFonts w:ascii="Arial" w:hAnsi="Arial" w:cs="Arial"/>
          <w:sz w:val="24"/>
          <w:szCs w:val="24"/>
        </w:rPr>
        <w:t>these costs are posted to your general ledger, i.e.</w:t>
      </w:r>
    </w:p>
    <w:p w:rsidR="00B2359A" w:rsidRDefault="00B2359A" w:rsidP="00B2359A">
      <w:pPr>
        <w:ind w:left="2790" w:hanging="630"/>
        <w:rPr>
          <w:rFonts w:ascii="Arial" w:hAnsi="Arial" w:cs="Arial"/>
          <w:sz w:val="24"/>
          <w:szCs w:val="24"/>
        </w:rPr>
      </w:pPr>
      <w:r>
        <w:rPr>
          <w:rFonts w:ascii="Arial" w:hAnsi="Arial" w:cs="Arial"/>
          <w:sz w:val="24"/>
          <w:szCs w:val="24"/>
        </w:rPr>
        <w:t>a.</w:t>
      </w:r>
      <w:r>
        <w:rPr>
          <w:rFonts w:ascii="Arial" w:hAnsi="Arial" w:cs="Arial"/>
          <w:sz w:val="24"/>
          <w:szCs w:val="24"/>
        </w:rPr>
        <w:tab/>
        <w:t>Office supplies – Office supplies are allocated to each cost center based on our allocation method.</w:t>
      </w:r>
      <w:r w:rsidR="001844EA">
        <w:rPr>
          <w:rFonts w:ascii="Arial" w:hAnsi="Arial" w:cs="Arial"/>
          <w:sz w:val="24"/>
          <w:szCs w:val="24"/>
        </w:rPr>
        <w:t xml:space="preserve">  See attached Cost Allocation worksheet.</w:t>
      </w:r>
    </w:p>
    <w:p w:rsidR="001844EA" w:rsidRDefault="001844EA" w:rsidP="001844EA">
      <w:pPr>
        <w:rPr>
          <w:rFonts w:ascii="Arial" w:hAnsi="Arial" w:cs="Arial"/>
          <w:sz w:val="24"/>
          <w:szCs w:val="24"/>
        </w:rPr>
      </w:pPr>
      <w:r>
        <w:rPr>
          <w:rFonts w:ascii="Arial" w:hAnsi="Arial" w:cs="Arial"/>
          <w:sz w:val="24"/>
          <w:szCs w:val="24"/>
        </w:rPr>
        <w:tab/>
      </w:r>
      <w:r w:rsidR="00B71287">
        <w:rPr>
          <w:rFonts w:ascii="Arial" w:hAnsi="Arial" w:cs="Arial"/>
          <w:sz w:val="24"/>
          <w:szCs w:val="24"/>
        </w:rPr>
        <w:t>F</w:t>
      </w:r>
      <w:r>
        <w:rPr>
          <w:rFonts w:ascii="Arial" w:hAnsi="Arial" w:cs="Arial"/>
          <w:sz w:val="24"/>
          <w:szCs w:val="24"/>
        </w:rPr>
        <w:t>.</w:t>
      </w:r>
      <w:r>
        <w:rPr>
          <w:rFonts w:ascii="Arial" w:hAnsi="Arial" w:cs="Arial"/>
          <w:sz w:val="24"/>
          <w:szCs w:val="24"/>
        </w:rPr>
        <w:tab/>
        <w:t>Unallowable Costs</w:t>
      </w:r>
    </w:p>
    <w:p w:rsidR="009C410C" w:rsidRDefault="001844EA" w:rsidP="001844EA">
      <w:pPr>
        <w:ind w:left="216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(Agency name) recognizes that unallowable costs as defined in </w:t>
      </w:r>
      <w:r w:rsidR="004B722F">
        <w:rPr>
          <w:rFonts w:ascii="Arial" w:hAnsi="Arial" w:cs="Arial"/>
          <w:sz w:val="24"/>
          <w:szCs w:val="24"/>
        </w:rPr>
        <w:t xml:space="preserve">     </w:t>
      </w:r>
      <w:r>
        <w:rPr>
          <w:rFonts w:ascii="Arial" w:hAnsi="Arial" w:cs="Arial"/>
          <w:sz w:val="24"/>
          <w:szCs w:val="24"/>
        </w:rPr>
        <w:t>2 CF</w:t>
      </w:r>
      <w:r w:rsidR="00930DA8">
        <w:rPr>
          <w:rFonts w:ascii="Arial" w:hAnsi="Arial" w:cs="Arial"/>
          <w:sz w:val="24"/>
          <w:szCs w:val="24"/>
        </w:rPr>
        <w:t>R Part 230 cannot be charged to Federal Awards, and has internal controls in place to insure that CFR is followed.</w:t>
      </w:r>
    </w:p>
    <w:p w:rsidR="009C410C" w:rsidRDefault="009C410C" w:rsidP="001844EA">
      <w:pPr>
        <w:ind w:left="2160" w:hanging="720"/>
        <w:rPr>
          <w:rFonts w:ascii="Arial" w:hAnsi="Arial" w:cs="Arial"/>
          <w:sz w:val="24"/>
          <w:szCs w:val="24"/>
        </w:rPr>
      </w:pPr>
    </w:p>
    <w:p w:rsidR="001844EA" w:rsidRDefault="00930DA8" w:rsidP="009C410C">
      <w:pPr>
        <w:ind w:left="2880" w:hanging="720"/>
        <w:rPr>
          <w:rFonts w:ascii="Arial" w:hAnsi="Arial" w:cs="Arial"/>
          <w:sz w:val="24"/>
          <w:szCs w:val="24"/>
        </w:rPr>
      </w:pPr>
      <w:r>
        <w:rPr>
          <w:rFonts w:ascii="Arial" w:hAnsi="Arial" w:cs="Arial"/>
          <w:sz w:val="24"/>
          <w:szCs w:val="24"/>
        </w:rPr>
        <w:t xml:space="preserve">  </w:t>
      </w:r>
      <w:r w:rsidR="004B722F">
        <w:rPr>
          <w:rFonts w:ascii="Arial" w:hAnsi="Arial" w:cs="Arial"/>
          <w:sz w:val="24"/>
          <w:szCs w:val="24"/>
        </w:rPr>
        <w:t>a.</w:t>
      </w:r>
      <w:r w:rsidR="004B722F">
        <w:rPr>
          <w:rFonts w:ascii="Arial" w:hAnsi="Arial" w:cs="Arial"/>
          <w:sz w:val="24"/>
          <w:szCs w:val="24"/>
        </w:rPr>
        <w:tab/>
      </w:r>
      <w:r>
        <w:rPr>
          <w:rFonts w:ascii="Arial" w:hAnsi="Arial" w:cs="Arial"/>
          <w:sz w:val="24"/>
          <w:szCs w:val="24"/>
        </w:rPr>
        <w:t>Examples of unallowable costs are:</w:t>
      </w:r>
    </w:p>
    <w:p w:rsidR="00930DA8" w:rsidRDefault="004B722F" w:rsidP="001844EA">
      <w:pPr>
        <w:ind w:left="2160" w:hanging="72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r>
      <w:r w:rsidR="00930DA8">
        <w:rPr>
          <w:rFonts w:ascii="Arial" w:hAnsi="Arial" w:cs="Arial"/>
          <w:sz w:val="24"/>
          <w:szCs w:val="24"/>
        </w:rPr>
        <w:t>Advertising and public relations</w:t>
      </w:r>
    </w:p>
    <w:p w:rsidR="00930DA8" w:rsidRDefault="00930DA8" w:rsidP="001844EA">
      <w:pPr>
        <w:ind w:left="2160" w:hanging="720"/>
        <w:rPr>
          <w:rFonts w:ascii="Arial" w:hAnsi="Arial" w:cs="Arial"/>
          <w:sz w:val="24"/>
          <w:szCs w:val="24"/>
        </w:rPr>
      </w:pPr>
      <w:r>
        <w:rPr>
          <w:rFonts w:ascii="Arial" w:hAnsi="Arial" w:cs="Arial"/>
          <w:sz w:val="24"/>
          <w:szCs w:val="24"/>
        </w:rPr>
        <w:tab/>
      </w:r>
      <w:r w:rsidR="004B722F">
        <w:rPr>
          <w:rFonts w:ascii="Arial" w:hAnsi="Arial" w:cs="Arial"/>
          <w:sz w:val="24"/>
          <w:szCs w:val="24"/>
        </w:rPr>
        <w:tab/>
        <w:t>2</w:t>
      </w:r>
      <w:r>
        <w:rPr>
          <w:rFonts w:ascii="Arial" w:hAnsi="Arial" w:cs="Arial"/>
          <w:sz w:val="24"/>
          <w:szCs w:val="24"/>
        </w:rPr>
        <w:t>.</w:t>
      </w:r>
      <w:r>
        <w:rPr>
          <w:rFonts w:ascii="Arial" w:hAnsi="Arial" w:cs="Arial"/>
          <w:sz w:val="24"/>
          <w:szCs w:val="24"/>
        </w:rPr>
        <w:tab/>
        <w:t>Entertainment/alcoholic beverages</w:t>
      </w:r>
    </w:p>
    <w:p w:rsidR="00930DA8" w:rsidRDefault="00930DA8" w:rsidP="001844EA">
      <w:pPr>
        <w:ind w:left="2160" w:hanging="720"/>
        <w:rPr>
          <w:rFonts w:ascii="Arial" w:hAnsi="Arial" w:cs="Arial"/>
          <w:sz w:val="24"/>
          <w:szCs w:val="24"/>
        </w:rPr>
      </w:pPr>
      <w:r>
        <w:rPr>
          <w:rFonts w:ascii="Arial" w:hAnsi="Arial" w:cs="Arial"/>
          <w:sz w:val="24"/>
          <w:szCs w:val="24"/>
        </w:rPr>
        <w:tab/>
      </w:r>
      <w:r w:rsidR="004B722F">
        <w:rPr>
          <w:rFonts w:ascii="Arial" w:hAnsi="Arial" w:cs="Arial"/>
          <w:sz w:val="24"/>
          <w:szCs w:val="24"/>
        </w:rPr>
        <w:tab/>
        <w:t>3</w:t>
      </w:r>
      <w:r>
        <w:rPr>
          <w:rFonts w:ascii="Arial" w:hAnsi="Arial" w:cs="Arial"/>
          <w:sz w:val="24"/>
          <w:szCs w:val="24"/>
        </w:rPr>
        <w:t>.</w:t>
      </w:r>
      <w:r>
        <w:rPr>
          <w:rFonts w:ascii="Arial" w:hAnsi="Arial" w:cs="Arial"/>
          <w:sz w:val="24"/>
          <w:szCs w:val="24"/>
        </w:rPr>
        <w:tab/>
        <w:t>Capital expenditures</w:t>
      </w:r>
    </w:p>
    <w:p w:rsidR="00930DA8" w:rsidRDefault="00930DA8" w:rsidP="001844EA">
      <w:pPr>
        <w:ind w:left="2160" w:hanging="720"/>
        <w:rPr>
          <w:rFonts w:ascii="Arial" w:hAnsi="Arial" w:cs="Arial"/>
          <w:sz w:val="24"/>
          <w:szCs w:val="24"/>
        </w:rPr>
      </w:pPr>
      <w:r>
        <w:rPr>
          <w:rFonts w:ascii="Arial" w:hAnsi="Arial" w:cs="Arial"/>
          <w:sz w:val="24"/>
          <w:szCs w:val="24"/>
        </w:rPr>
        <w:tab/>
      </w:r>
      <w:r w:rsidR="004B722F">
        <w:rPr>
          <w:rFonts w:ascii="Arial" w:hAnsi="Arial" w:cs="Arial"/>
          <w:sz w:val="24"/>
          <w:szCs w:val="24"/>
        </w:rPr>
        <w:tab/>
        <w:t>4</w:t>
      </w:r>
      <w:r>
        <w:rPr>
          <w:rFonts w:ascii="Arial" w:hAnsi="Arial" w:cs="Arial"/>
          <w:sz w:val="24"/>
          <w:szCs w:val="24"/>
        </w:rPr>
        <w:t>.</w:t>
      </w:r>
      <w:r>
        <w:rPr>
          <w:rFonts w:ascii="Arial" w:hAnsi="Arial" w:cs="Arial"/>
          <w:sz w:val="24"/>
          <w:szCs w:val="24"/>
        </w:rPr>
        <w:tab/>
        <w:t>Interest</w:t>
      </w:r>
    </w:p>
    <w:p w:rsidR="00930DA8" w:rsidRDefault="00930DA8" w:rsidP="001844EA">
      <w:pPr>
        <w:ind w:left="2160" w:hanging="720"/>
        <w:rPr>
          <w:rFonts w:ascii="Arial" w:hAnsi="Arial" w:cs="Arial"/>
          <w:sz w:val="24"/>
          <w:szCs w:val="24"/>
        </w:rPr>
      </w:pPr>
      <w:r>
        <w:rPr>
          <w:rFonts w:ascii="Arial" w:hAnsi="Arial" w:cs="Arial"/>
          <w:sz w:val="24"/>
          <w:szCs w:val="24"/>
        </w:rPr>
        <w:tab/>
      </w:r>
      <w:r w:rsidR="004B722F">
        <w:rPr>
          <w:rFonts w:ascii="Arial" w:hAnsi="Arial" w:cs="Arial"/>
          <w:sz w:val="24"/>
          <w:szCs w:val="24"/>
        </w:rPr>
        <w:tab/>
        <w:t>5</w:t>
      </w:r>
      <w:r>
        <w:rPr>
          <w:rFonts w:ascii="Arial" w:hAnsi="Arial" w:cs="Arial"/>
          <w:sz w:val="24"/>
          <w:szCs w:val="24"/>
        </w:rPr>
        <w:t>.</w:t>
      </w:r>
      <w:r>
        <w:rPr>
          <w:rFonts w:ascii="Arial" w:hAnsi="Arial" w:cs="Arial"/>
          <w:sz w:val="24"/>
          <w:szCs w:val="24"/>
        </w:rPr>
        <w:tab/>
        <w:t>Lobbying and fund raising</w:t>
      </w:r>
    </w:p>
    <w:p w:rsidR="00930DA8" w:rsidRDefault="00930DA8" w:rsidP="001844EA">
      <w:pPr>
        <w:ind w:left="2160" w:hanging="720"/>
        <w:rPr>
          <w:rFonts w:ascii="Arial" w:hAnsi="Arial" w:cs="Arial"/>
          <w:sz w:val="24"/>
          <w:szCs w:val="24"/>
        </w:rPr>
      </w:pPr>
      <w:r>
        <w:rPr>
          <w:rFonts w:ascii="Arial" w:hAnsi="Arial" w:cs="Arial"/>
          <w:sz w:val="24"/>
          <w:szCs w:val="24"/>
        </w:rPr>
        <w:tab/>
      </w:r>
      <w:r w:rsidR="004B722F">
        <w:rPr>
          <w:rFonts w:ascii="Arial" w:hAnsi="Arial" w:cs="Arial"/>
          <w:sz w:val="24"/>
          <w:szCs w:val="24"/>
        </w:rPr>
        <w:tab/>
        <w:t>6</w:t>
      </w:r>
      <w:r>
        <w:rPr>
          <w:rFonts w:ascii="Arial" w:hAnsi="Arial" w:cs="Arial"/>
          <w:sz w:val="24"/>
          <w:szCs w:val="24"/>
        </w:rPr>
        <w:t>.</w:t>
      </w:r>
      <w:r>
        <w:rPr>
          <w:rFonts w:ascii="Arial" w:hAnsi="Arial" w:cs="Arial"/>
          <w:sz w:val="24"/>
          <w:szCs w:val="24"/>
        </w:rPr>
        <w:tab/>
        <w:t>Charitable contribution.</w:t>
      </w: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p w:rsidR="009C410C" w:rsidRDefault="009C410C" w:rsidP="001844EA">
      <w:pPr>
        <w:ind w:left="2160" w:hanging="720"/>
        <w:rPr>
          <w:rFonts w:ascii="Arial" w:hAnsi="Arial" w:cs="Arial"/>
          <w:sz w:val="24"/>
          <w:szCs w:val="24"/>
        </w:rPr>
      </w:pPr>
    </w:p>
    <w:sectPr w:rsidR="009C41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61" w:rsidRDefault="00DA0061" w:rsidP="00DA0061">
      <w:pPr>
        <w:spacing w:after="0" w:line="240" w:lineRule="auto"/>
      </w:pPr>
      <w:r>
        <w:separator/>
      </w:r>
    </w:p>
  </w:endnote>
  <w:endnote w:type="continuationSeparator" w:id="0">
    <w:p w:rsidR="00DA0061" w:rsidRDefault="00DA0061" w:rsidP="00DA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61" w:rsidRDefault="002A255F">
    <w:pPr>
      <w:pStyle w:val="Footer"/>
    </w:pPr>
    <w:r>
      <w:fldChar w:fldCharType="begin"/>
    </w:r>
    <w:r>
      <w:instrText xml:space="preserve"> FILENAME \* MERGEFORMAT </w:instrText>
    </w:r>
    <w:r>
      <w:fldChar w:fldCharType="separate"/>
    </w:r>
    <w:r w:rsidR="00A05545">
      <w:rPr>
        <w:noProof/>
      </w:rPr>
      <w:t>7. COST POLICY STATEMENT.docx</w:t>
    </w:r>
    <w:r>
      <w:rPr>
        <w:noProof/>
      </w:rPr>
      <w:fldChar w:fldCharType="end"/>
    </w:r>
    <w:r w:rsidR="00A05545">
      <w:ptab w:relativeTo="margin" w:alignment="center" w:leader="none"/>
    </w:r>
    <w:r w:rsidR="00A05545">
      <w:ptab w:relativeTo="margin" w:alignment="right" w:leader="none"/>
    </w:r>
    <w:r w:rsidR="00A05545">
      <w:rPr>
        <w:color w:val="7F7F7F" w:themeColor="background1" w:themeShade="7F"/>
        <w:spacing w:val="60"/>
      </w:rPr>
      <w:t>Page</w:t>
    </w:r>
    <w:r w:rsidR="00A05545">
      <w:t xml:space="preserve"> | </w:t>
    </w:r>
    <w:r w:rsidR="00A05545">
      <w:fldChar w:fldCharType="begin"/>
    </w:r>
    <w:r w:rsidR="00A05545">
      <w:instrText xml:space="preserve"> PAGE   \* MERGEFORMAT </w:instrText>
    </w:r>
    <w:r w:rsidR="00A05545">
      <w:fldChar w:fldCharType="separate"/>
    </w:r>
    <w:r w:rsidRPr="002A255F">
      <w:rPr>
        <w:b/>
        <w:bCs/>
        <w:noProof/>
      </w:rPr>
      <w:t>3</w:t>
    </w:r>
    <w:r w:rsidR="00A05545">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61" w:rsidRDefault="00DA0061" w:rsidP="00DA0061">
      <w:pPr>
        <w:spacing w:after="0" w:line="240" w:lineRule="auto"/>
      </w:pPr>
      <w:r>
        <w:separator/>
      </w:r>
    </w:p>
  </w:footnote>
  <w:footnote w:type="continuationSeparator" w:id="0">
    <w:p w:rsidR="00DA0061" w:rsidRDefault="00DA0061" w:rsidP="00DA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40B"/>
    <w:multiLevelType w:val="hybridMultilevel"/>
    <w:tmpl w:val="D2081270"/>
    <w:lvl w:ilvl="0" w:tplc="99C6C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C6BCB"/>
    <w:multiLevelType w:val="hybridMultilevel"/>
    <w:tmpl w:val="3BEAD30C"/>
    <w:lvl w:ilvl="0" w:tplc="8F869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25D30"/>
    <w:multiLevelType w:val="hybridMultilevel"/>
    <w:tmpl w:val="AA285282"/>
    <w:lvl w:ilvl="0" w:tplc="3A00677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D47851"/>
    <w:multiLevelType w:val="hybridMultilevel"/>
    <w:tmpl w:val="DC4E1480"/>
    <w:lvl w:ilvl="0" w:tplc="FDEE27F8">
      <w:start w:val="3"/>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6B1644"/>
    <w:multiLevelType w:val="hybridMultilevel"/>
    <w:tmpl w:val="3334D774"/>
    <w:lvl w:ilvl="0" w:tplc="E4AE84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F960640"/>
    <w:multiLevelType w:val="hybridMultilevel"/>
    <w:tmpl w:val="F3745F00"/>
    <w:lvl w:ilvl="0" w:tplc="FA74B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64"/>
    <w:rsid w:val="00017408"/>
    <w:rsid w:val="000A0464"/>
    <w:rsid w:val="001844EA"/>
    <w:rsid w:val="001C62F4"/>
    <w:rsid w:val="002021C6"/>
    <w:rsid w:val="00230E62"/>
    <w:rsid w:val="002A255F"/>
    <w:rsid w:val="00315C04"/>
    <w:rsid w:val="003534A6"/>
    <w:rsid w:val="003A17D2"/>
    <w:rsid w:val="004B722F"/>
    <w:rsid w:val="005D5983"/>
    <w:rsid w:val="006778B7"/>
    <w:rsid w:val="008522A5"/>
    <w:rsid w:val="00930DA8"/>
    <w:rsid w:val="009C410C"/>
    <w:rsid w:val="00A05545"/>
    <w:rsid w:val="00AE488B"/>
    <w:rsid w:val="00B2359A"/>
    <w:rsid w:val="00B71287"/>
    <w:rsid w:val="00DA0061"/>
    <w:rsid w:val="00E60D3F"/>
    <w:rsid w:val="00E779E7"/>
    <w:rsid w:val="00F0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009F-4641-4F0B-A3D4-D0319FAA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64"/>
    <w:pPr>
      <w:ind w:left="720"/>
      <w:contextualSpacing/>
    </w:pPr>
  </w:style>
  <w:style w:type="paragraph" w:styleId="BalloonText">
    <w:name w:val="Balloon Text"/>
    <w:basedOn w:val="Normal"/>
    <w:link w:val="BalloonTextChar"/>
    <w:uiPriority w:val="99"/>
    <w:semiHidden/>
    <w:unhideWhenUsed/>
    <w:rsid w:val="00202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C6"/>
    <w:rPr>
      <w:rFonts w:ascii="Segoe UI" w:hAnsi="Segoe UI" w:cs="Segoe UI"/>
      <w:sz w:val="18"/>
      <w:szCs w:val="18"/>
    </w:rPr>
  </w:style>
  <w:style w:type="paragraph" w:styleId="Header">
    <w:name w:val="header"/>
    <w:basedOn w:val="Normal"/>
    <w:link w:val="HeaderChar"/>
    <w:uiPriority w:val="99"/>
    <w:unhideWhenUsed/>
    <w:rsid w:val="00DA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61"/>
  </w:style>
  <w:style w:type="paragraph" w:styleId="Footer">
    <w:name w:val="footer"/>
    <w:basedOn w:val="Normal"/>
    <w:link w:val="FooterChar"/>
    <w:uiPriority w:val="99"/>
    <w:unhideWhenUsed/>
    <w:rsid w:val="00DA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3BEF-173E-4C2D-9A56-0447A415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Lucero</dc:creator>
  <cp:keywords/>
  <dc:description/>
  <cp:lastModifiedBy>Emily Chan</cp:lastModifiedBy>
  <cp:revision>3</cp:revision>
  <cp:lastPrinted>2015-11-25T19:17:00Z</cp:lastPrinted>
  <dcterms:created xsi:type="dcterms:W3CDTF">2016-07-05T18:09:00Z</dcterms:created>
  <dcterms:modified xsi:type="dcterms:W3CDTF">2016-07-05T21:13:00Z</dcterms:modified>
</cp:coreProperties>
</file>